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Default ContentType="image/png" Extension="png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DFKai-SB" w:hAnsi="DFKai-SB" w:eastAsia="DFKai-SB"/>
          <w:sz w:val="48"/>
          <w:szCs w:val="48"/>
        </w:rPr>
      </w:pPr>
      <w:r>
        <w:rPr>
          <w:rFonts w:hint="eastAsia" w:ascii="DFKai-SB" w:hAnsi="DFKai-SB" w:eastAsia="DFKai-SB"/>
          <w:sz w:val="48"/>
          <w:szCs w:val="48"/>
        </w:rPr>
        <w:t>古文字「豐」字構形試釋</w:t>
      </w:r>
    </w:p>
    <w:p>
      <w:pPr>
        <w:jc w:val="center"/>
        <w:rPr>
          <w:rFonts w:ascii="DFKai-SB" w:hAnsi="DFKai-SB" w:eastAsia="DFKai-SB"/>
          <w:sz w:val="40"/>
          <w:szCs w:val="40"/>
        </w:rPr>
      </w:pPr>
    </w:p>
    <w:p>
      <w:pPr>
        <w:jc w:val="center"/>
        <w:rPr>
          <w:rFonts w:ascii="DFKai-SB" w:hAnsi="DFKai-SB" w:eastAsia="DFKai-SB"/>
          <w:sz w:val="40"/>
          <w:szCs w:val="40"/>
        </w:rPr>
      </w:pPr>
    </w:p>
    <w:p>
      <w:pPr>
        <w:jc w:val="center"/>
        <w:rPr>
          <w:rFonts w:ascii="DFKai-SB" w:hAnsi="DFKai-SB" w:eastAsia="DFKai-SB"/>
          <w:sz w:val="28"/>
          <w:szCs w:val="28"/>
        </w:rPr>
      </w:pPr>
      <w:r>
        <w:rPr>
          <w:rFonts w:hint="eastAsia" w:ascii="DFKai-SB" w:hAnsi="DFKai-SB" w:eastAsia="DFKai-SB"/>
          <w:sz w:val="28"/>
          <w:szCs w:val="28"/>
        </w:rPr>
        <w:t>中央研究院歷史語言研究所</w:t>
      </w:r>
    </w:p>
    <w:p>
      <w:pPr>
        <w:jc w:val="center"/>
        <w:rPr>
          <w:rFonts w:ascii="DFKai-SB" w:hAnsi="DFKai-SB" w:eastAsia="DFKai-SB"/>
          <w:sz w:val="28"/>
          <w:szCs w:val="28"/>
        </w:rPr>
      </w:pPr>
      <w:r>
        <w:rPr>
          <w:rFonts w:hint="eastAsia" w:ascii="DFKai-SB" w:hAnsi="DFKai-SB" w:eastAsia="DFKai-SB"/>
          <w:sz w:val="28"/>
          <w:szCs w:val="28"/>
        </w:rPr>
        <w:t>蔡哲茂</w:t>
      </w:r>
    </w:p>
    <w:p>
      <w:pPr>
        <w:textAlignment w:val="center"/>
        <w:rPr>
          <w:rFonts w:ascii="DFKai-SB" w:hAnsi="DFKai-SB" w:eastAsia="DFKai-SB"/>
        </w:rPr>
      </w:pPr>
    </w:p>
    <w:p>
      <w:pPr>
        <w:textAlignment w:val="center"/>
        <w:rPr>
          <w:rFonts w:ascii="DFKai-SB" w:hAnsi="DFKai-SB" w:eastAsia="DFKai-SB"/>
        </w:rPr>
      </w:pP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　　一般認為甲骨文「豐」字有三種構形，第一種為從「壴」從二「亡」，如：</w:t>
      </w:r>
      <w:r>
        <w:rPr>
          <w:rStyle w:val="13"/>
          <w:rFonts w:ascii="Times New Roman" w:hAnsi="Times New Roman"/>
        </w:rPr>
        <w:footnoteReference w:id="0"/>
      </w:r>
    </w:p>
    <w:p>
      <w:pPr>
        <w:textAlignment w:val="center"/>
        <w:rPr>
          <w:rFonts w:ascii="Times New Roman" w:hAnsi="Times New Roman" w:eastAsia="DFKai-SB" w:cs="Times New Roman"/>
        </w:rPr>
      </w:pPr>
      <w:r>
        <w:rPr>
          <w:rFonts w:ascii="Times New Roman" w:hAnsi="Times New Roman" w:eastAsia="DFKai-SB" w:cs="Times New Roman"/>
          <w:kern w:val="2"/>
          <w:sz w:val="24"/>
          <w:szCs w:val="22"/>
          <w:lang w:val="en-US" w:eastAsia="zh-TW" w:bidi="ar-SA"/>
        </w:rPr>
        <w:pict>
          <v:shape id="圖片 42" o:spid="_x0000_s1027" type="#_x0000_t75" style="height:37pt;width:2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（《合》16084）、</w:t>
      </w:r>
      <w:r>
        <w:rPr>
          <w:rFonts w:ascii="Times New Roman" w:hAnsi="Times New Roman" w:eastAsia="宋体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43" o:spid="_x0000_s1028" type="#_x0000_t75" style="height:35.5pt;width:26.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（《合》17513）、</w:t>
      </w:r>
      <w:r>
        <w:rPr>
          <w:rFonts w:ascii="Times New Roman" w:hAnsi="Times New Roman" w:eastAsia="宋体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44" o:spid="_x0000_s1029" type="#_x0000_t75" style="height:35.5pt;width:22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（《合》18592）、</w:t>
      </w:r>
      <w:r>
        <w:rPr>
          <w:rFonts w:ascii="Times New Roman" w:hAnsi="Times New Roman" w:eastAsia="宋体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45" o:spid="_x0000_s1030" type="#_x0000_t75" style="height:37pt;width:28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（《合》6068）、</w:t>
      </w:r>
      <w:r>
        <w:rPr>
          <w:rFonts w:ascii="Times New Roman" w:hAnsi="Times New Roman" w:eastAsia="宋体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47" o:spid="_x0000_s1031" type="#_x0000_t75" style="height:33pt;width:22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（《合》3774）、</w:t>
      </w:r>
      <w:r>
        <w:rPr>
          <w:rFonts w:ascii="Times New Roman" w:hAnsi="Times New Roman" w:eastAsia="宋体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46" o:spid="_x0000_s1032" type="#_x0000_t75" style="height:32pt;width:27.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（《合》22290）、</w:t>
      </w:r>
      <w:r>
        <w:rPr>
          <w:rFonts w:ascii="Times New Roman" w:hAnsi="Times New Roman" w:eastAsia="DFKai-SB" w:cs="Times New Roman"/>
          <w:kern w:val="2"/>
          <w:sz w:val="24"/>
          <w:szCs w:val="22"/>
          <w:lang w:val="en-US" w:eastAsia="zh-TW" w:bidi="ar-SA"/>
        </w:rPr>
        <w:pict>
          <v:shape id="圖片 40" o:spid="_x0000_s1033" type="#_x0000_t75" style="height:42.5pt;width:40.6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（《合》24610）</w:t>
      </w:r>
      <w:r>
        <w:rPr>
          <w:rFonts w:hint="eastAsia" w:ascii="Times New Roman" w:hAnsi="Times New Roman" w:cs="Times New Roman"/>
          <w:spacing w:val="-8"/>
          <w:szCs w:val="24"/>
        </w:rPr>
        <w:br/>
      </w: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第二種為從「壴」從二「木」，如：</w:t>
      </w:r>
    </w:p>
    <w:p>
      <w:pPr>
        <w:textAlignment w:val="center"/>
        <w:rPr>
          <w:rFonts w:ascii="Times New Roman" w:hAnsi="Times New Roman"/>
          <w:b/>
          <w:color w:val="FF0000"/>
        </w:rPr>
      </w:pPr>
      <w:r>
        <w:rPr>
          <w:rFonts w:hint="eastAsia" w:ascii="Times New Roman" w:hAnsi="Times New Roman" w:eastAsia="宋体" w:cs="Times New Roman"/>
          <w:b/>
          <w:color w:val="FF0000"/>
          <w:kern w:val="2"/>
          <w:sz w:val="24"/>
          <w:szCs w:val="22"/>
          <w:lang w:val="en-US" w:eastAsia="zh-TW" w:bidi="ar-SA"/>
        </w:rPr>
        <w:pict>
          <v:shape id="圖片 156" o:spid="_x0000_s1034" type="#_x0000_t75" style="height:45.35pt;width:24.15pt;rotation:0f;" o:ole="f" fillcolor="#FFFFFF" filled="f" o:preferrelative="t" stroked="f" coordorigin="0,0" coordsize="21600,21600">
            <v:fill on="f" color2="#FFFFFF" focus="0%"/>
            <v:imagedata gain="65536f" blacklevel="0f" gamma="0" grayscale="t" bilevel="t" o:title="" r:id="rId1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</w:t>
      </w:r>
      <w:r>
        <w:rPr>
          <w:rFonts w:hint="eastAsia" w:ascii="Times New Roman" w:hAnsi="Times New Roman" w:cs="Times New Roman"/>
          <w:spacing w:val="-8"/>
          <w:szCs w:val="24"/>
        </w:rPr>
        <w:t>8262反</w:t>
      </w:r>
      <w:r>
        <w:rPr>
          <w:rFonts w:ascii="Times New Roman" w:hAnsi="Times New Roman" w:cs="Times New Roman"/>
          <w:spacing w:val="-8"/>
          <w:szCs w:val="24"/>
        </w:rPr>
        <w:t>）</w:t>
      </w:r>
    </w:p>
    <w:p>
      <w:pPr>
        <w:textAlignment w:val="center"/>
        <w:rPr>
          <w:rFonts w:ascii="Times New Roman" w:hAnsi="Times New Roman"/>
        </w:rPr>
      </w:pP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第三種為從「壴」從二「玉」，如：</w:t>
      </w:r>
    </w:p>
    <w:p>
      <w:pPr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32" o:spid="_x0000_s1035" type="#_x0000_t75" style="height:36pt;width:29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（《合》14625）、</w:t>
      </w:r>
      <w:r>
        <w:rPr>
          <w:rFonts w:ascii="Times New Roman" w:hAnsi="Times New Roman" w:eastAsia="宋体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33" o:spid="_x0000_s1036" type="#_x0000_t75" style="height:39pt;width:27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（《屯》1255）、</w:t>
      </w:r>
      <w:r>
        <w:rPr>
          <w:rFonts w:ascii="Times New Roman" w:hAnsi="Times New Roman" w:eastAsia="宋体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34" o:spid="_x0000_s1037" type="#_x0000_t75" style="height:37pt;width:27.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（《合》32536）、</w:t>
      </w:r>
      <w:r>
        <w:rPr>
          <w:rFonts w:ascii="Times New Roman" w:hAnsi="Times New Roman" w:eastAsia="宋体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35" o:spid="_x0000_s1038" type="#_x0000_t75" style="height:38.5pt;width:27.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（《合》32557）、</w:t>
      </w:r>
      <w:r>
        <w:rPr>
          <w:rFonts w:ascii="Times New Roman" w:hAnsi="Times New Roman" w:eastAsia="宋体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36" o:spid="_x0000_s1039" type="#_x0000_t75" style="height:39pt;width:27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（《合》34609）、</w:t>
      </w:r>
      <w:r>
        <w:rPr>
          <w:rFonts w:ascii="Times New Roman" w:hAnsi="Times New Roman" w:eastAsia="宋体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37" o:spid="_x0000_s1040" type="#_x0000_t75" style="height:37pt;width:24.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（《懷》1586）、</w:t>
      </w:r>
      <w:r>
        <w:rPr>
          <w:rFonts w:ascii="Times New Roman" w:hAnsi="Times New Roman" w:eastAsia="宋体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38" o:spid="_x0000_s1041" type="#_x0000_t75" style="height:36.5pt;width:27.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（《合》27460）、</w:t>
      </w:r>
      <w:r>
        <w:rPr>
          <w:rFonts w:ascii="Times New Roman" w:hAnsi="Times New Roman" w:eastAsia="宋体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39" o:spid="_x0000_s1042" type="#_x0000_t75" style="height:36.5pt;width:30.5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pacing w:val="-8"/>
          <w:szCs w:val="24"/>
        </w:rPr>
        <w:t>（《花東》501）</w:t>
      </w:r>
    </w:p>
    <w:p>
      <w:pPr>
        <w:textAlignment w:val="center"/>
        <w:rPr>
          <w:rFonts w:ascii="Times New Roman" w:hAnsi="Times New Roman"/>
        </w:rPr>
      </w:pP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黃德寬主編的《古文字系譜疏證》主張上舉諸字皆為「豐」字，其說如下：</w:t>
      </w:r>
    </w:p>
    <w:p>
      <w:pPr>
        <w:textAlignment w:val="center"/>
        <w:rPr>
          <w:rFonts w:ascii="Times New Roman" w:hAnsi="Times New Roman"/>
        </w:rPr>
      </w:pPr>
    </w:p>
    <w:p>
      <w:pPr>
        <w:ind w:left="708" w:leftChars="295"/>
        <w:textAlignment w:val="center"/>
      </w:pPr>
      <w:r>
        <w:rPr>
          <w:rFonts w:hint="eastAsia" w:ascii="DFKai-SB" w:hAnsi="DFKai-SB" w:eastAsia="DFKai-SB"/>
        </w:rPr>
        <w:t>《說文》釋「─滿」，乃引申義，─異體或作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124" o:spid="_x0000_s1043" type="#_x0000_t75" style="height:14.15pt;width:11.4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，从壴，木聲（从二木亦求其對稱）。木，明紐侯部；─，滂紐東部。滂、明均屬唇音，侯、東陰陽對轉。金文─始从壴，丰聲（从二丰亦求其對稱。《六書故》引唐本《說文》有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146" o:spid="_x0000_s1044" type="#_x0000_t75" style="height:14.15pt;width:14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，丰之繁文）。</w:t>
      </w:r>
      <w:r>
        <w:rPr>
          <w:rFonts w:hint="eastAsia" w:ascii="DFKai-SB" w:hAnsi="DFKai-SB" w:eastAsia="DFKai-SB"/>
          <w:lang w:eastAsia="zh-CN"/>
        </w:rPr>
        <w:t>─或从艸，乃从林之省。或說，从林及从艸之─，乃「─我」之─的本字。</w:t>
      </w:r>
      <w:r>
        <w:rPr>
          <w:rFonts w:hint="eastAsia" w:ascii="DFKai-SB" w:hAnsi="DFKai-SB" w:eastAsia="DFKai-SB"/>
        </w:rPr>
        <w:t>─或作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150" o:spid="_x0000_s1045" type="#_x0000_t75" style="height:12.45pt;width:9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，亦从二亡之變易。戰國文字或作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154" o:spid="_x0000_s1046" type="#_x0000_t75" style="height:14.15pt;width:9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乃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151" o:spid="_x0000_s1047" type="#_x0000_t75" style="height:12.45pt;width:9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之省易。─、豊有別，亦易混，參豊字。</w:t>
      </w:r>
      <w:r>
        <w:rPr>
          <w:rStyle w:val="13"/>
        </w:rPr>
        <w:footnoteReference w:id="1"/>
      </w:r>
    </w:p>
    <w:p>
      <w:pPr>
        <w:textAlignment w:val="center"/>
        <w:rPr>
          <w:rFonts w:ascii="DFKai-SB" w:hAnsi="DFKai-SB" w:eastAsia="DFKai-SB"/>
        </w:rPr>
      </w:pPr>
    </w:p>
    <w:p>
      <w:pPr>
        <w:textAlignment w:val="center"/>
        <w:rPr>
          <w:szCs w:val="24"/>
        </w:rPr>
      </w:pPr>
      <w:r>
        <w:rPr>
          <w:rFonts w:hint="eastAsia" w:ascii="Times New Roman" w:hAnsi="Times New Roman" w:cs="Times New Roman"/>
          <w:spacing w:val="-8"/>
          <w:szCs w:val="24"/>
        </w:rPr>
        <w:t>黃氏所論詳密，然透過音韻上的通轉來證成其說，似未必準確。所謂</w:t>
      </w:r>
      <w:r>
        <w:rPr>
          <w:rFonts w:ascii="Times New Roman" w:hAnsi="Times New Roman" w:cs="Times New Roman"/>
          <w:spacing w:val="-8"/>
          <w:szCs w:val="24"/>
        </w:rPr>
        <w:t>「</w:t>
      </w:r>
      <w:r>
        <w:rPr>
          <w:rFonts w:hint="eastAsia" w:ascii="Times New Roman" w:hAnsi="Times New Roman" w:cs="Times New Roman"/>
          <w:spacing w:val="-8"/>
          <w:szCs w:val="24"/>
        </w:rPr>
        <w:t>丰聲</w:t>
      </w:r>
      <w:r>
        <w:rPr>
          <w:rFonts w:ascii="Times New Roman" w:hAnsi="Times New Roman" w:cs="Times New Roman"/>
          <w:spacing w:val="-8"/>
          <w:szCs w:val="24"/>
        </w:rPr>
        <w:t>」</w:t>
      </w:r>
      <w:r>
        <w:rPr>
          <w:rFonts w:hint="eastAsia" w:ascii="Times New Roman" w:hAnsi="Times New Roman" w:cs="Times New Roman"/>
          <w:spacing w:val="-8"/>
          <w:szCs w:val="24"/>
        </w:rPr>
        <w:t>的觀點亦可商榷，豐字事實上並不從丰。此外，</w:t>
      </w:r>
      <w:r>
        <w:rPr>
          <w:rFonts w:ascii="Times New Roman" w:hAnsi="Times New Roman" w:cs="Times New Roman"/>
          <w:spacing w:val="-8"/>
          <w:szCs w:val="24"/>
        </w:rPr>
        <w:t>《說文．豐部》曰</w:t>
      </w:r>
      <w:r>
        <w:rPr>
          <w:rFonts w:ascii="Times New Roman" w:hAnsi="Times New Roman" w:cs="Times New Roman"/>
          <w:szCs w:val="24"/>
        </w:rPr>
        <w:t>：</w:t>
      </w:r>
      <w:r>
        <w:rPr>
          <w:rFonts w:ascii="DFKai-SB" w:hAnsi="DFKai-SB" w:eastAsia="DFKai-SB" w:cs="Times New Roman"/>
          <w:spacing w:val="-8"/>
          <w:szCs w:val="24"/>
        </w:rPr>
        <w:t>「豐，豆之豐滿者也，从豆象形。</w:t>
      </w:r>
      <w:r>
        <w:rPr>
          <w:rFonts w:ascii="Times New Roman" w:hAnsi="Times New Roman" w:cs="Times New Roman"/>
          <w:spacing w:val="-8"/>
          <w:szCs w:val="24"/>
        </w:rPr>
        <w:t>」從古文字來看，「豐」字</w:t>
      </w:r>
      <w:r>
        <w:rPr>
          <w:rFonts w:hint="eastAsia" w:ascii="Times New Roman" w:hAnsi="Times New Roman" w:cs="Times New Roman"/>
          <w:spacing w:val="-8"/>
          <w:szCs w:val="24"/>
        </w:rPr>
        <w:t>亦</w:t>
      </w:r>
      <w:r>
        <w:rPr>
          <w:rFonts w:ascii="Times New Roman" w:hAnsi="Times New Roman" w:cs="Times New Roman"/>
          <w:spacing w:val="-8"/>
          <w:szCs w:val="24"/>
        </w:rPr>
        <w:t>不從</w:t>
      </w:r>
      <w:r>
        <w:rPr>
          <w:rFonts w:hint="eastAsia" w:ascii="Times New Roman" w:hAnsi="Times New Roman"/>
          <w:spacing w:val="-8"/>
          <w:szCs w:val="24"/>
        </w:rPr>
        <w:t>「豆」，學者已有辨明，如</w:t>
      </w:r>
      <w:r>
        <w:rPr>
          <w:rFonts w:hint="eastAsia" w:ascii="Times New Roman" w:hAnsi="Times New Roman"/>
        </w:rPr>
        <w:t>裘錫圭指出</w:t>
      </w:r>
      <w:r>
        <w:rPr>
          <w:rFonts w:hint="eastAsia"/>
          <w:szCs w:val="24"/>
        </w:rPr>
        <w:t>：</w:t>
      </w:r>
    </w:p>
    <w:p>
      <w:pPr>
        <w:ind w:firstLine="480"/>
        <w:textAlignment w:val="center"/>
        <w:rPr>
          <w:rFonts w:ascii="Times New Roman" w:hAnsi="Times New Roman"/>
        </w:rPr>
      </w:pPr>
    </w:p>
    <w:p>
      <w:pPr>
        <w:ind w:left="684"/>
        <w:textAlignment w:val="center"/>
        <w:rPr>
          <w:rFonts w:ascii="DFKai-SB" w:hAnsi="DFKai-SB" w:eastAsia="DFKai-SB"/>
          <w:spacing w:val="-8"/>
          <w:szCs w:val="24"/>
        </w:rPr>
      </w:pPr>
      <w:r>
        <w:rPr>
          <w:rFonts w:ascii="DFKai-SB" w:hAnsi="DFKai-SB" w:eastAsia="DFKai-SB"/>
          <w:spacing w:val="-8"/>
          <w:szCs w:val="24"/>
        </w:rPr>
        <w:t>《</w:t>
      </w:r>
      <w:r>
        <w:rPr>
          <w:rFonts w:hint="eastAsia" w:ascii="DFKai-SB" w:hAnsi="DFKai-SB" w:eastAsia="DFKai-SB"/>
          <w:spacing w:val="-8"/>
          <w:szCs w:val="24"/>
        </w:rPr>
        <w:t>說文．豐部</w:t>
      </w:r>
      <w:r>
        <w:rPr>
          <w:rFonts w:ascii="DFKai-SB" w:hAnsi="DFKai-SB" w:eastAsia="DFKai-SB"/>
          <w:spacing w:val="-8"/>
          <w:szCs w:val="24"/>
        </w:rPr>
        <w:t>》</w:t>
      </w:r>
      <w:r>
        <w:rPr>
          <w:rFonts w:hint="eastAsia" w:ascii="DFKai-SB" w:hAnsi="DFKai-SB" w:eastAsia="DFKai-SB"/>
          <w:szCs w:val="24"/>
        </w:rPr>
        <w:t>：</w:t>
      </w:r>
      <w:r>
        <w:rPr>
          <w:rFonts w:hint="eastAsia" w:ascii="DFKai-SB" w:hAnsi="DFKai-SB" w:eastAsia="DFKai-SB"/>
          <w:spacing w:val="-8"/>
          <w:szCs w:val="24"/>
        </w:rPr>
        <w:t>「豐，豆之豐滿者也，从豆象形。」從古文字看，</w:t>
      </w:r>
      <w:r>
        <w:rPr>
          <w:rFonts w:ascii="DFKai-SB" w:hAnsi="DFKai-SB" w:eastAsia="DFKai-SB"/>
          <w:spacing w:val="-8"/>
          <w:szCs w:val="24"/>
        </w:rPr>
        <w:t>《</w:t>
      </w:r>
      <w:r>
        <w:rPr>
          <w:rFonts w:hint="eastAsia" w:ascii="DFKai-SB" w:hAnsi="DFKai-SB" w:eastAsia="DFKai-SB"/>
          <w:spacing w:val="-8"/>
          <w:szCs w:val="24"/>
        </w:rPr>
        <w:t>說文</w:t>
      </w:r>
      <w:r>
        <w:rPr>
          <w:rFonts w:ascii="DFKai-SB" w:hAnsi="DFKai-SB" w:eastAsia="DFKai-SB"/>
          <w:spacing w:val="-8"/>
          <w:szCs w:val="24"/>
        </w:rPr>
        <w:t>》</w:t>
      </w:r>
      <w:r>
        <w:rPr>
          <w:rFonts w:hint="eastAsia" w:ascii="DFKai-SB" w:hAnsi="DFKai-SB" w:eastAsia="DFKai-SB"/>
          <w:spacing w:val="-8"/>
          <w:szCs w:val="24"/>
        </w:rPr>
        <w:t>的解釋是錯誤的。甲骨文「豆」字多作</w:t>
      </w:r>
      <w:r>
        <w:rPr>
          <w:rFonts w:hint="eastAsia" w:ascii="DFKai-SB" w:hAnsi="DFKai-SB" w:eastAsia="DFKai-SB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14" o:spid="_x0000_s1048" type="#_x0000_t75" style="height:14.15pt;width:13.7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15" o:spid="_x0000_s1049" type="#_x0000_t75" style="height:16pt;width:1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16" o:spid="_x0000_s1050" type="#_x0000_t75" style="height:15.6pt;width:12.9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pacing w:val="-8"/>
          <w:szCs w:val="24"/>
        </w:rPr>
        <w:t>等形。「豐」字應該分析為从「</w:t>
      </w:r>
      <w:r>
        <w:rPr>
          <w:rFonts w:hint="eastAsia" w:ascii="DFKai-SB" w:hAnsi="DFKai-SB" w:eastAsia="DFKai-SB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17" o:spid="_x0000_s1051" type="#_x0000_t75" style="height:17pt;width:14.6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pacing w:val="-8"/>
          <w:szCs w:val="24"/>
        </w:rPr>
        <w:t>」从「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23" o:spid="_x0000_s1052" type="#_x0000_t75" style="height:10.2pt;width:10.5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pacing w:val="-8"/>
          <w:szCs w:val="24"/>
        </w:rPr>
        <w:t>」，與「豆」無關。他所从的</w:t>
      </w:r>
      <w:r>
        <w:rPr>
          <w:rFonts w:hint="eastAsia" w:ascii="DFKai-SB" w:hAnsi="DFKai-SB" w:eastAsia="DFKai-SB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19" o:spid="_x0000_s1053" type="#_x0000_t75" style="height:17pt;width:14.6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pacing w:val="-8"/>
          <w:szCs w:val="24"/>
        </w:rPr>
        <w:t>跟「</w:t>
      </w:r>
      <w:r>
        <w:rPr>
          <w:rFonts w:hint="eastAsia" w:ascii="DFKai-SB" w:hAnsi="DFKai-SB" w:eastAsia="DFKai-SB"/>
          <w:szCs w:val="24"/>
        </w:rPr>
        <w:t>鼓</w:t>
      </w:r>
      <w:r>
        <w:rPr>
          <w:rFonts w:hint="eastAsia" w:ascii="DFKai-SB" w:hAnsi="DFKai-SB" w:eastAsia="DFKai-SB"/>
          <w:spacing w:val="-8"/>
          <w:szCs w:val="24"/>
        </w:rPr>
        <w:t>」的初文「</w:t>
      </w:r>
      <w:r>
        <w:rPr>
          <w:rFonts w:ascii="DFKai-SB" w:hAnsi="DFKai-SB" w:eastAsia="DFKai-SB"/>
          <w:szCs w:val="24"/>
        </w:rPr>
        <w:t>壴</w:t>
      </w:r>
      <w:r>
        <w:rPr>
          <w:rFonts w:hint="eastAsia" w:ascii="DFKai-SB" w:hAnsi="DFKai-SB" w:eastAsia="DFKai-SB"/>
          <w:spacing w:val="-8"/>
          <w:szCs w:val="24"/>
        </w:rPr>
        <w:t>」十分相似。結合卜辭所反映的豐和庸的密切關係來考慮，可以斷定「豐」本是一種鼓的名稱。</w:t>
      </w:r>
      <w:r>
        <w:rPr>
          <w:rFonts w:ascii="Times New Roman" w:hAnsi="Times New Roman" w:eastAsia="DFKai-SB" w:cs="Times New Roman"/>
          <w:spacing w:val="-8"/>
          <w:szCs w:val="24"/>
        </w:rPr>
        <w:t>周代金文有</w:t>
      </w:r>
      <w:r>
        <w:rPr>
          <w:rFonts w:ascii="Times New Roman" w:hAnsi="Times New Roman" w:eastAsia="DFKai-SB" w:cs="Times New Roman"/>
          <w:spacing w:val="-8"/>
          <w:kern w:val="2"/>
          <w:sz w:val="24"/>
          <w:szCs w:val="24"/>
          <w:lang w:val="en-US" w:eastAsia="zh-TW" w:bidi="ar-SA"/>
        </w:rPr>
        <w:pict>
          <v:shape id="圖片 21" o:spid="_x0000_s1054" type="#_x0000_t75" style="height:11.35pt;width:11.2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eastAsia="DFKai-SB" w:cs="Times New Roman"/>
          <w:spacing w:val="-8"/>
          <w:szCs w:val="24"/>
        </w:rPr>
        <w:t>字（《金文編》174頁），構造與「</w:t>
      </w:r>
      <w:r>
        <w:rPr>
          <w:rFonts w:ascii="Times New Roman" w:hAnsi="Times New Roman" w:eastAsia="DFKai-SB" w:cs="Times New Roman"/>
          <w:szCs w:val="24"/>
        </w:rPr>
        <w:t>鼓</w:t>
      </w:r>
      <w:r>
        <w:rPr>
          <w:rFonts w:ascii="Times New Roman" w:hAnsi="Times New Roman" w:eastAsia="DFKai-SB" w:cs="Times New Roman"/>
          <w:spacing w:val="-8"/>
          <w:szCs w:val="24"/>
        </w:rPr>
        <w:t>」字相類，象以手持物擊豐。</w:t>
      </w:r>
      <w:r>
        <w:rPr>
          <w:rFonts w:hint="eastAsia" w:ascii="DFKai-SB" w:hAnsi="DFKai-SB" w:eastAsia="DFKai-SB"/>
          <w:spacing w:val="-8"/>
          <w:szCs w:val="24"/>
        </w:rPr>
        <w:t>這也是豐之本義當為鼓名的一個佐證。「豐」字古多訓「大」，據此推測，豐應該是大鼓。這可以從「豐」字的異體得到證明。</w:t>
      </w:r>
      <w:r>
        <w:rPr>
          <w:rFonts w:ascii="DFKai-SB" w:hAnsi="DFKai-SB" w:eastAsia="DFKai-SB"/>
          <w:spacing w:val="-8"/>
          <w:szCs w:val="24"/>
        </w:rPr>
        <w:t>……</w:t>
      </w:r>
      <w:r>
        <w:rPr>
          <w:rFonts w:hint="eastAsia" w:ascii="DFKai-SB" w:hAnsi="DFKai-SB" w:eastAsia="DFKai-SB"/>
          <w:spacing w:val="-8"/>
          <w:szCs w:val="24"/>
        </w:rPr>
        <w:t>至於「豐」字為什麼从「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22" o:spid="_x0000_s1055" type="#_x0000_t75" style="height:10.2pt;width:10.5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pacing w:val="-8"/>
          <w:szCs w:val="24"/>
        </w:rPr>
        <w:t>」，還有待研究，也許這表示豐是用玉裝飾的貴重大鼓吧（編按</w:t>
      </w:r>
      <w:r>
        <w:rPr>
          <w:rFonts w:hint="eastAsia" w:ascii="DFKai-SB" w:hAnsi="DFKai-SB" w:eastAsia="DFKai-SB"/>
          <w:szCs w:val="24"/>
        </w:rPr>
        <w:t>：</w:t>
      </w:r>
      <w:r>
        <w:rPr>
          <w:rFonts w:ascii="DFKai-SB" w:hAnsi="DFKai-SB" w:eastAsia="DFKai-SB"/>
          <w:spacing w:val="-8"/>
          <w:szCs w:val="24"/>
        </w:rPr>
        <w:t>《</w:t>
      </w:r>
      <w:r>
        <w:rPr>
          <w:rFonts w:hint="eastAsia" w:ascii="DFKai-SB" w:hAnsi="DFKai-SB" w:eastAsia="DFKai-SB"/>
          <w:spacing w:val="-8"/>
          <w:szCs w:val="24"/>
        </w:rPr>
        <w:t>屯南</w:t>
      </w:r>
      <w:r>
        <w:rPr>
          <w:rFonts w:ascii="DFKai-SB" w:hAnsi="DFKai-SB" w:eastAsia="DFKai-SB"/>
          <w:spacing w:val="-8"/>
          <w:szCs w:val="24"/>
        </w:rPr>
        <w:t>》</w:t>
      </w:r>
      <w:r>
        <w:rPr>
          <w:rFonts w:hint="eastAsia" w:ascii="DFKai-SB" w:hAnsi="DFKai-SB" w:eastAsia="DFKai-SB"/>
          <w:spacing w:val="-8"/>
          <w:szCs w:val="24"/>
        </w:rPr>
        <w:t>2346有「</w:t>
      </w:r>
      <w:r>
        <w:rPr>
          <w:rFonts w:hint="eastAsia" w:ascii="DFKai-SB" w:hAnsi="DFKai-SB" w:eastAsia="DFKai-SB"/>
          <w:szCs w:val="24"/>
        </w:rPr>
        <w:t>其品亞，叀玉豐用</w:t>
      </w:r>
      <w:r>
        <w:rPr>
          <w:rFonts w:hint="eastAsia" w:ascii="DFKai-SB" w:hAnsi="DFKai-SB" w:eastAsia="DFKai-SB"/>
          <w:spacing w:val="-8"/>
          <w:szCs w:val="24"/>
        </w:rPr>
        <w:t>」一辭，又441的一組卜辭裡有「</w:t>
      </w:r>
      <w:r>
        <w:rPr>
          <w:rFonts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30" o:spid="_x0000_s1056" type="#_x0000_t75" style="height:11.35pt;width:11.35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Cs w:val="24"/>
        </w:rPr>
        <w:t>玉</w:t>
      </w:r>
      <w:r>
        <w:rPr>
          <w:rFonts w:ascii="DFKai-SB" w:hAnsi="DFKai-SB" w:eastAsia="DFKai-SB"/>
          <w:szCs w:val="24"/>
        </w:rPr>
        <w:t>壴</w:t>
      </w:r>
      <w:r>
        <w:rPr>
          <w:rFonts w:hint="eastAsia" w:ascii="DFKai-SB" w:hAnsi="DFKai-SB" w:eastAsia="DFKai-SB"/>
          <w:spacing w:val="-8"/>
          <w:szCs w:val="24"/>
        </w:rPr>
        <w:t>」之文）。</w:t>
      </w:r>
    </w:p>
    <w:p>
      <w:pPr>
        <w:ind w:left="684"/>
        <w:textAlignment w:val="center"/>
        <w:rPr>
          <w:rFonts w:ascii="Times New Roman" w:hAnsi="Times New Roman" w:eastAsia="DFKai-SB" w:cs="Times New Roman"/>
          <w:spacing w:val="-8"/>
          <w:szCs w:val="24"/>
        </w:rPr>
      </w:pPr>
      <w:r>
        <w:rPr>
          <w:rFonts w:hint="eastAsia" w:ascii="DFKai-SB" w:hAnsi="DFKai-SB" w:eastAsia="DFKai-SB"/>
          <w:spacing w:val="-8"/>
          <w:szCs w:val="24"/>
        </w:rPr>
        <w:t>庸是大鐘，豐是大鼓，所以它們才會時常並提。</w:t>
      </w:r>
      <w:r>
        <w:rPr>
          <w:rFonts w:ascii="DFKai-SB" w:hAnsi="DFKai-SB" w:eastAsia="DFKai-SB"/>
          <w:spacing w:val="-8"/>
          <w:szCs w:val="24"/>
        </w:rPr>
        <w:t>《</w:t>
      </w:r>
      <w:r>
        <w:rPr>
          <w:rFonts w:hint="eastAsia" w:ascii="DFKai-SB" w:hAnsi="DFKai-SB" w:eastAsia="DFKai-SB"/>
          <w:spacing w:val="-8"/>
          <w:szCs w:val="24"/>
        </w:rPr>
        <w:t>詩．大雅．靈臺</w:t>
      </w:r>
      <w:r>
        <w:rPr>
          <w:rFonts w:ascii="DFKai-SB" w:hAnsi="DFKai-SB" w:eastAsia="DFKai-SB"/>
          <w:spacing w:val="-8"/>
          <w:szCs w:val="24"/>
        </w:rPr>
        <w:t>》</w:t>
      </w:r>
      <w:r>
        <w:rPr>
          <w:rFonts w:hint="eastAsia" w:ascii="DFKai-SB" w:hAnsi="DFKai-SB" w:eastAsia="DFKai-SB"/>
          <w:spacing w:val="-8"/>
          <w:szCs w:val="24"/>
        </w:rPr>
        <w:t>「</w:t>
      </w:r>
      <w:r>
        <w:rPr>
          <w:rFonts w:hint="eastAsia" w:ascii="DFKai-SB" w:hAnsi="DFKai-SB" w:eastAsia="DFKai-SB"/>
          <w:szCs w:val="24"/>
        </w:rPr>
        <w:t>賁鼓維鏞</w:t>
      </w:r>
      <w:r>
        <w:rPr>
          <w:rFonts w:hint="eastAsia" w:ascii="DFKai-SB" w:hAnsi="DFKai-SB" w:eastAsia="DFKai-SB"/>
          <w:spacing w:val="-8"/>
          <w:szCs w:val="24"/>
        </w:rPr>
        <w:t>」，以賁鼓與鏞並提，賁鼓也是大鼓。</w:t>
      </w:r>
      <w:r>
        <w:rPr>
          <w:rStyle w:val="13"/>
          <w:rFonts w:ascii="Times New Roman" w:hAnsi="Times New Roman" w:eastAsia="DFKai-SB" w:cs="Times New Roman"/>
          <w:spacing w:val="-8"/>
          <w:szCs w:val="24"/>
        </w:rPr>
        <w:footnoteReference w:id="2"/>
      </w:r>
    </w:p>
    <w:p>
      <w:pPr>
        <w:ind w:left="684"/>
        <w:textAlignment w:val="center"/>
        <w:rPr>
          <w:rFonts w:ascii="DFKai-SB" w:hAnsi="DFKai-SB" w:eastAsia="DFKai-SB"/>
          <w:szCs w:val="24"/>
        </w:rPr>
      </w:pPr>
    </w:p>
    <w:p>
      <w:pPr>
        <w:textAlignment w:val="center"/>
        <w:rPr>
          <w:szCs w:val="24"/>
        </w:rPr>
      </w:pPr>
      <w:r>
        <w:rPr>
          <w:rFonts w:hint="eastAsia" w:ascii="Times New Roman" w:hAnsi="Times New Roman"/>
          <w:szCs w:val="24"/>
        </w:rPr>
        <w:t>林澐則認為</w:t>
      </w:r>
      <w:r>
        <w:rPr>
          <w:rFonts w:hint="eastAsia"/>
          <w:szCs w:val="24"/>
        </w:rPr>
        <w:t>：</w:t>
      </w:r>
    </w:p>
    <w:p>
      <w:pPr>
        <w:ind w:firstLine="480"/>
        <w:textAlignment w:val="center"/>
        <w:rPr>
          <w:szCs w:val="24"/>
        </w:rPr>
      </w:pPr>
    </w:p>
    <w:p>
      <w:pPr>
        <w:ind w:left="720"/>
        <w:textAlignment w:val="center"/>
        <w:rPr>
          <w:rFonts w:ascii="Times New Roman" w:hAnsi="Times New Roman" w:eastAsia="DFKai-SB" w:cs="Times New Roman"/>
          <w:sz w:val="22"/>
        </w:rPr>
      </w:pPr>
      <w:r>
        <w:rPr>
          <w:rFonts w:hint="eastAsia" w:ascii="DFKai-SB" w:hAnsi="DFKai-SB" w:eastAsia="DFKai-SB"/>
          <w:szCs w:val="24"/>
        </w:rPr>
        <w:t>豊字原先確係从</w:t>
      </w:r>
      <w:r>
        <w:rPr>
          <w:rFonts w:ascii="DFKai-SB" w:hAnsi="DFKai-SB" w:eastAsia="DFKai-SB"/>
        </w:rPr>
        <w:t>壴</w:t>
      </w:r>
      <w:r>
        <w:rPr>
          <w:rFonts w:hint="eastAsia" w:ascii="DFKai-SB" w:hAnsi="DFKai-SB" w:eastAsia="DFKai-SB"/>
          <w:szCs w:val="24"/>
        </w:rPr>
        <w:t>从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1" o:spid="_x0000_s1057" type="#_x0000_t75" style="height:11.35pt;width:11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Cs w:val="24"/>
        </w:rPr>
        <w:t>無疑。進而上溯商代甲骨文，从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24" o:spid="_x0000_s1058" type="#_x0000_t75" style="height:10.2pt;width:10.5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Cs w:val="24"/>
        </w:rPr>
        <w:t>从</w:t>
      </w:r>
      <w:r>
        <w:rPr>
          <w:rFonts w:ascii="DFKai-SB" w:hAnsi="DFKai-SB" w:eastAsia="DFKai-SB"/>
        </w:rPr>
        <w:t>壴</w:t>
      </w:r>
      <w:r>
        <w:rPr>
          <w:rFonts w:hint="eastAsia" w:ascii="DFKai-SB" w:hAnsi="DFKai-SB" w:eastAsia="DFKai-SB"/>
          <w:szCs w:val="24"/>
        </w:rPr>
        <w:t>之豊字習見，所从之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27" o:spid="_x0000_s1059" type="#_x0000_t75" style="height:10.2pt;width:10.5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Cs w:val="24"/>
        </w:rPr>
        <w:t>雖有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4" o:spid="_x0000_s1060" type="#_x0000_t75" style="height:14.75pt;width:17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Cs w:val="24"/>
        </w:rPr>
        <w:t>、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5" o:spid="_x0000_s1061" type="#_x0000_t75" style="height:14.15pt;width:17pt;rotation:0f;" o:ole="f" fillcolor="#FFFFFF" filled="f" o:preferrelative="t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Cs w:val="24"/>
        </w:rPr>
        <w:t>、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6" o:spid="_x0000_s1062" type="#_x0000_t75" style="height:17pt;width:17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Cs w:val="24"/>
        </w:rPr>
        <w:t>、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7" o:spid="_x0000_s1063" type="#_x0000_t75" style="height:17pt;width:17pt;rotation:0f;" o:ole="f" fillcolor="#FFFFFF" filled="f" o:preferrelative="t" stroked="f" coordorigin="0,0" coordsize="21600,21600">
            <v:fill on="f" color2="#FFFFFF" focus="0%"/>
            <v:imagedata gain="65536f" blacklevel="0f" gamma="0" o:title="" r:id="rId3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Cs w:val="24"/>
        </w:rPr>
        <w:t>、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8" o:spid="_x0000_s1064" type="#_x0000_t75" style="height:17pt;width: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3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Cs w:val="24"/>
        </w:rPr>
        <w:t>等形，然與豐之作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9" o:spid="_x0000_s1065" type="#_x0000_t75" style="height:17pt;width:12.3pt;rotation:0f;" o:ole="f" fillcolor="#FFFFFF" filled="f" o:preferrelative="t" stroked="f" coordorigin="0,0" coordsize="21600,21600">
            <v:fill on="f" color2="#FFFFFF" focus="0%"/>
            <v:imagedata gain="65536f" blacklevel="0f" gamma="0" o:title="" r:id="rId4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Cs w:val="24"/>
        </w:rPr>
        <w:t>、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10" o:spid="_x0000_s1066" type="#_x0000_t75" style="height:17pt;width:13.2pt;rotation:0f;" o:ole="f" fillcolor="#FFFFFF" filled="f" o:preferrelative="t" stroked="f" coordorigin="0,0" coordsize="21600,21600">
            <v:fill on="f" color2="#FFFFFF" focus="0%"/>
            <v:imagedata gain="65536f" blacklevel="0f" gamma="0" o:title="" r:id="rId4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Cs w:val="24"/>
        </w:rPr>
        <w:t>等形截然有別，這是很容易辨識的。豊字何以从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26" o:spid="_x0000_s1067" type="#_x0000_t75" style="height:10.2pt;width:10.5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Cs w:val="24"/>
        </w:rPr>
        <w:t>从</w:t>
      </w:r>
      <w:r>
        <w:rPr>
          <w:rFonts w:ascii="DFKai-SB" w:hAnsi="DFKai-SB" w:eastAsia="DFKai-SB"/>
        </w:rPr>
        <w:t>壴</w:t>
      </w:r>
      <w:r>
        <w:rPr>
          <w:rFonts w:ascii="DFKai-SB" w:hAnsi="DFKai-SB" w:eastAsia="DFKai-SB"/>
          <w:sz w:val="22"/>
        </w:rPr>
        <w:t>？</w:t>
      </w:r>
      <w:r>
        <w:rPr>
          <w:rFonts w:hint="eastAsia" w:ascii="DFKai-SB" w:hAnsi="DFKai-SB" w:eastAsia="DFKai-SB"/>
          <w:sz w:val="22"/>
        </w:rPr>
        <w:t>這是因為古代行禮時常用玉和鼓。孔子曾感嘆說</w:t>
      </w:r>
      <w:r>
        <w:rPr>
          <w:rFonts w:ascii="DFKai-SB" w:hAnsi="DFKai-SB" w:eastAsia="DFKai-SB"/>
          <w:spacing w:val="-8"/>
          <w:sz w:val="22"/>
        </w:rPr>
        <w:t>：</w:t>
      </w:r>
      <w:r>
        <w:rPr>
          <w:rFonts w:hint="eastAsia" w:ascii="DFKai-SB" w:hAnsi="DFKai-SB" w:eastAsia="DFKai-SB"/>
          <w:spacing w:val="-8"/>
          <w:sz w:val="22"/>
        </w:rPr>
        <w:t>「禮云禮云，玉帛云乎哉</w:t>
      </w:r>
      <w:r>
        <w:rPr>
          <w:rFonts w:ascii="DFKai-SB" w:hAnsi="DFKai-SB" w:eastAsia="DFKai-SB"/>
          <w:sz w:val="22"/>
        </w:rPr>
        <w:t>？</w:t>
      </w:r>
      <w:r>
        <w:rPr>
          <w:rFonts w:hint="eastAsia" w:ascii="DFKai-SB" w:hAnsi="DFKai-SB" w:eastAsia="DFKai-SB"/>
          <w:sz w:val="22"/>
        </w:rPr>
        <w:t>樂云樂云，鐘鼓云乎哉</w:t>
      </w:r>
      <w:r>
        <w:rPr>
          <w:rFonts w:ascii="DFKai-SB" w:hAnsi="DFKai-SB" w:eastAsia="DFKai-SB"/>
          <w:sz w:val="22"/>
        </w:rPr>
        <w:t>？</w:t>
      </w:r>
      <w:r>
        <w:rPr>
          <w:rFonts w:hint="eastAsia" w:ascii="DFKai-SB" w:hAnsi="DFKai-SB" w:eastAsia="DFKai-SB"/>
          <w:spacing w:val="-8"/>
          <w:sz w:val="22"/>
        </w:rPr>
        <w:t>」</w:t>
      </w:r>
      <w:r>
        <w:rPr>
          <w:rFonts w:hint="eastAsia" w:ascii="DFKai-SB" w:hAnsi="DFKai-SB" w:eastAsia="DFKai-SB"/>
          <w:sz w:val="22"/>
        </w:rPr>
        <w:t>這至少反映古代禮儀活動正是以玉帛、鐘鼓為代表物的。</w:t>
      </w:r>
      <w:r>
        <w:rPr>
          <w:rFonts w:ascii="DFKai-SB" w:hAnsi="DFKai-SB" w:eastAsia="DFKai-SB"/>
          <w:sz w:val="22"/>
        </w:rPr>
        <w:t>……</w:t>
      </w:r>
      <w:r>
        <w:rPr>
          <w:rFonts w:hint="eastAsia" w:ascii="DFKai-SB" w:hAnsi="DFKai-SB" w:eastAsia="DFKai-SB"/>
          <w:sz w:val="22"/>
        </w:rPr>
        <w:t>綜上所述，豊豐二字雖均从</w:t>
      </w:r>
      <w:r>
        <w:rPr>
          <w:rFonts w:ascii="DFKai-SB" w:hAnsi="DFKai-SB" w:eastAsia="DFKai-SB"/>
        </w:rPr>
        <w:t>壴</w:t>
      </w:r>
      <w:r>
        <w:rPr>
          <w:rFonts w:hint="eastAsia" w:ascii="DFKai-SB" w:hAnsi="DFKai-SB" w:eastAsia="DFKai-SB"/>
          <w:sz w:val="22"/>
        </w:rPr>
        <w:t>，但豊本从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25" o:spid="_x0000_s1068" type="#_x0000_t75" style="height:10.2pt;width:10.5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 w:val="22"/>
        </w:rPr>
        <w:t>，豐本从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13" o:spid="_x0000_s1069" type="#_x0000_t75" style="height:15.3pt;width:16.3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  <w:sz w:val="22"/>
        </w:rPr>
        <w:t>，在先秦古文字中已得到證實。而且，豊是會意字，豐是形聲字，不顧豊豐二字在形、音、義三方面的明顯區別，而把二字混為一談，肯定是不對的。</w:t>
      </w:r>
      <w:r>
        <w:rPr>
          <w:rStyle w:val="13"/>
          <w:rFonts w:ascii="Times New Roman" w:hAnsi="Times New Roman" w:cs="Times New Roman"/>
          <w:sz w:val="22"/>
        </w:rPr>
        <w:footnoteReference w:id="3"/>
      </w:r>
    </w:p>
    <w:p>
      <w:pPr>
        <w:ind w:left="720"/>
        <w:textAlignment w:val="center"/>
        <w:rPr>
          <w:szCs w:val="24"/>
        </w:rPr>
      </w:pP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根據上說可知，裘錫圭認為「豐」、「豊」同字，</w:t>
      </w:r>
      <w:r>
        <w:rPr>
          <w:rFonts w:hint="eastAsia" w:ascii="Times New Roman" w:hAnsi="Times New Roman"/>
          <w:szCs w:val="24"/>
        </w:rPr>
        <w:t>林澐</w:t>
      </w:r>
      <w:r>
        <w:rPr>
          <w:rFonts w:hint="eastAsia" w:ascii="Times New Roman" w:hAnsi="Times New Roman"/>
        </w:rPr>
        <w:t>則認為从「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103" o:spid="_x0000_s1070" type="#_x0000_t75" style="height:11.35pt;width:13.6pt;rotation:0f;" o:ole="f" fillcolor="#FFFFFF" filled="f" o:preferrelative="t" stroked="f" coordorigin="0,0" coordsize="21600,21600">
            <v:fill on="f" color2="#FFFFFF" focus="0%"/>
            <v:imagedata gain="65536f" blacklevel="0f" gamma="0" o:title="" r:id="rId4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」从「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104" o:spid="_x0000_s1071" type="#_x0000_t75" style="height:14.15pt;width: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」有別，也就是認為「豐」、「豊」不同字。近來同仁李宗焜針對此主題也進行了探討，他在肯定裘說的前提之下認為：</w:t>
      </w:r>
    </w:p>
    <w:p>
      <w:pPr>
        <w:textAlignment w:val="center"/>
        <w:rPr>
          <w:rFonts w:ascii="Times New Roman" w:hAnsi="Times New Roman"/>
        </w:rPr>
      </w:pPr>
    </w:p>
    <w:p>
      <w:pPr>
        <w:ind w:left="720" w:leftChars="300"/>
        <w:textAlignment w:val="center"/>
        <w:rPr>
          <w:rFonts w:ascii="Times New Roman" w:hAnsi="Times New Roman" w:eastAsia="DFKai-SB" w:cs="Times New Roman"/>
        </w:rPr>
      </w:pPr>
      <w:r>
        <w:rPr>
          <w:rFonts w:hint="eastAsia" w:ascii="DFKai-SB" w:hAnsi="DFKai-SB" w:eastAsia="DFKai-SB"/>
        </w:rPr>
        <w:t>更從丰之其它古文字來看，甲骨文丰字作「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05" o:spid="_x0000_s1072" type="#_x0000_t75" style="height:11.75pt;width:5.65pt;rotation:0f;" o:ole="f" fillcolor="#FFFFFF" filled="f" o:preferrelative="t" stroked="f" coordorigin="0,0" coordsize="21600,21600">
            <v:fill on="f" color2="#FFFFFF" focus="0%"/>
            <v:imagedata gain="65536f" blacklevel="0f" gamma="0" o:title="" r:id="rId4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」、「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69" o:spid="_x0000_s1073" type="#_x0000_t75" style="height:17pt;width:13.2pt;rotation:0f;" o:ole="f" fillcolor="#FFFFFF" filled="f" o:preferrelative="t" stroked="f" coordorigin="0,0" coordsize="21600,21600">
            <v:fill on="f" color2="#FFFFFF" focus="0%"/>
            <v:imagedata gain="65536f" blacklevel="0f" gamma="0" o:title="" r:id="rId4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」，金文作「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06" o:spid="_x0000_s1074" type="#_x0000_t75" style="height:11.35pt;width:7.5pt;rotation:0f;" o:ole="f" fillcolor="#FFFFFF" filled="f" o:preferrelative="t" stroked="f" coordorigin="0,0" coordsize="21600,21600">
            <v:fill on="f" color2="#FFFFFF" focus="0%"/>
            <v:imagedata gain="65536f" blacklevel="0f" gamma="0" o:title="" r:id="rId4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」，其下部从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138" o:spid="_x0000_s1075" type="#_x0000_t75" style="height:13.9pt;width:7.1pt;rotation:0f;" o:ole="f" fillcolor="#FFFFFF" filled="f" o:preferrelative="t" stroked="f" coordorigin="0,0" coordsize="21600,21600">
            <v:fill on="f" color2="#FFFFFF" focus="0%"/>
            <v:imagedata gain="65536f" blacklevel="0f" gamma="0" o:title="" r:id="rId4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或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139" o:spid="_x0000_s1076" type="#_x0000_t75" style="height:14.15pt;width: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4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，而豐之所謂「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141" o:spid="_x0000_s1077" type="#_x0000_t75" style="height:9.95pt;width:11.3pt;rotation:0f;" o:ole="f" fillcolor="#FFFFFF" filled="f" o:preferrelative="t" stroked="f" coordorigin="0,0" coordsize="21600,21600">
            <v:fill on="f" color2="#FFFFFF" focus="0%"/>
            <v:imagedata gain="65536f" blacklevel="0f" gamma="0" o:title="" r:id="rId4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聲」所从均作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143" o:spid="_x0000_s1078" type="#_x0000_t75" style="height:14.75pt;width:11.6pt;rotation:0f;" o:ole="f" fillcolor="#FFFFFF" filled="f" o:preferrelative="t" stroked="f" coordorigin="0,0" coordsize="21600,21600">
            <v:fill on="f" color2="#FFFFFF" focus="0%"/>
            <v:imagedata gain="65536f" blacklevel="0f" gamma="0" o:title="" r:id="rId4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或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142" o:spid="_x0000_s1079" type="#_x0000_t75" style="height:14.15pt;width:14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，絕無作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144" o:spid="_x0000_s1080" type="#_x0000_t75" style="height:13.9pt;width:7.1pt;rotation:0f;" o:ole="f" fillcolor="#FFFFFF" filled="f" o:preferrelative="t" stroked="f" coordorigin="0,0" coordsize="21600,21600">
            <v:fill on="f" color2="#FFFFFF" focus="0%"/>
            <v:imagedata gain="65536f" blacklevel="0f" gamma="0" o:title="" r:id="rId4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、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145" o:spid="_x0000_s1081" type="#_x0000_t75" style="height:14.15pt;width: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4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者，則其是否从丰便不無可疑，是否从聲亦值得再討論。</w:t>
      </w:r>
      <w:r>
        <w:rPr>
          <w:rStyle w:val="13"/>
          <w:rFonts w:ascii="Times New Roman" w:hAnsi="Times New Roman" w:eastAsia="DFKai-SB" w:cs="Times New Roman"/>
        </w:rPr>
        <w:footnoteReference w:id="4"/>
      </w:r>
    </w:p>
    <w:p>
      <w:pPr>
        <w:ind w:left="708" w:leftChars="295"/>
        <w:textAlignment w:val="center"/>
        <w:rPr>
          <w:rFonts w:ascii="Times New Roman" w:hAnsi="Times New Roman"/>
        </w:rPr>
      </w:pPr>
    </w:p>
    <w:p>
      <w:pPr>
        <w:textAlignment w:val="center"/>
        <w:rPr>
          <w:szCs w:val="24"/>
        </w:rPr>
      </w:pPr>
      <w:r>
        <w:rPr>
          <w:rFonts w:hint="eastAsia" w:ascii="Times New Roman" w:hAnsi="Times New Roman"/>
        </w:rPr>
        <w:t>並提出了此二字屬於「同形異字」的結論</w:t>
      </w:r>
      <w:r>
        <w:rPr>
          <w:rFonts w:hint="eastAsia"/>
          <w:szCs w:val="24"/>
        </w:rPr>
        <w:t>：</w:t>
      </w:r>
    </w:p>
    <w:p>
      <w:pPr>
        <w:textAlignment w:val="center"/>
        <w:rPr>
          <w:szCs w:val="24"/>
        </w:rPr>
      </w:pPr>
    </w:p>
    <w:p>
      <w:pPr>
        <w:ind w:left="720" w:leftChars="300"/>
        <w:jc w:val="both"/>
        <w:textAlignment w:val="center"/>
        <w:rPr>
          <w:rFonts w:ascii="Times New Roman" w:hAnsi="Times New Roman" w:eastAsia="DFKai-SB" w:cs="Times New Roman"/>
        </w:rPr>
      </w:pPr>
      <w:r>
        <w:rPr>
          <w:rFonts w:hint="eastAsia" w:ascii="DFKai-SB" w:hAnsi="DFKai-SB" w:eastAsia="DFKai-SB"/>
        </w:rPr>
        <w:t>我們認為豐，豊之从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155" o:spid="_x0000_s1082" type="#_x0000_t75" style="height:14.75pt;width:11.6pt;rotation:0f;" o:ole="f" fillcolor="#FFFFFF" filled="f" o:preferrelative="t" stroked="f" coordorigin="0,0" coordsize="21600,21600">
            <v:fill on="f" color2="#FFFFFF" focus="0%"/>
            <v:imagedata gain="65536f" blacklevel="0f" gamma="0" o:title="" r:id="rId4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或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56" o:spid="_x0000_s1083" type="#_x0000_t75" style="height:14.15pt;width:14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，都是鼓上的玉飾，其字原本同形，以「飾玉之鼓」為其初文朔義，必欲隸定則何妨作「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57" o:spid="_x0000_s1084" type="#_x0000_t75" style="height:14.15pt;width:13.6pt;rotation:0f;" o:ole="f" fillcolor="#FFFFFF" filled="f" o:preferrelative="t" stroked="f" coordorigin="0,0" coordsize="21600,21600">
            <v:fill on="f" color2="#FFFFFF" focus="0%"/>
            <v:imagedata gain="65536f" blacklevel="0f" gamma="0" o:title="" r:id="rId5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」。至其「因鼓聲宏大充盈故引申而有大、滿等義」，遂為豐；因鐘鼓本為禮樂之用，遂因鼓形而聯想為禮。豐滿、禮節為如徐灝所說「義屬於虛」，故取義於「有形可象」的「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60" o:spid="_x0000_s1085" type="#_x0000_t75" style="height:14.15pt;width:13.6pt;rotation:0f;" o:ole="f" fillcolor="#FFFFFF" filled="f" o:preferrelative="t" stroked="f" coordorigin="0,0" coordsize="21600,21600">
            <v:fill on="f" color2="#FFFFFF" focus="0%"/>
            <v:imagedata gain="65536f" blacklevel="0f" gamma="0" o:title="" r:id="rId5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」。此字形體原本無截然劃分，只是前人無「同形異字」的觀念，見其形體相同，遂謂其同字，而不問其音之絕遠；另一方面則因其音異而否定「同字」之說，緣於未知「同形」之實質現象，所有紛拏皆因此而起。今以「同形異字」（異字自可異音）說之，可以得到一個合理的解釋。</w:t>
      </w:r>
      <w:r>
        <w:rPr>
          <w:rStyle w:val="13"/>
          <w:rFonts w:ascii="Times New Roman" w:hAnsi="Times New Roman" w:eastAsia="DFKai-SB" w:cs="Times New Roman"/>
        </w:rPr>
        <w:footnoteReference w:id="5"/>
      </w:r>
    </w:p>
    <w:p>
      <w:pPr>
        <w:ind w:left="720" w:leftChars="300"/>
        <w:textAlignment w:val="center"/>
        <w:rPr>
          <w:rFonts w:ascii="DFKai-SB" w:hAnsi="DFKai-SB" w:eastAsia="DFKai-SB"/>
        </w:rPr>
      </w:pP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李說指出金文「豐」字所從「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127" o:spid="_x0000_s1086" type="#_x0000_t75" style="height:14.15pt;width: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」應該是一種裝飾，而非聲符，這顯然是正確的，然此裝飾是否為玉飾，則需要再做商榷。要如何對甲骨金文「豐」字結構做出更合理的詮釋，撇開「豐」、「豊」二字分合的相關問題來看，我們認為在文字構型的分析上還有進一步檢校的必要，尤其是影響學界很大的「豐是用玉裝飾的貴重大鼓」說法受到大部分學者接受，卻經不起深入推敲；本文以下即試舉淺見供學界參考。</w:t>
      </w: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裘、林二先生以及同仁李宗焜無論在論點上具有部分差異，仍都將「豐」字所從的「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164" o:spid="_x0000_s1087" type="#_x0000_t75" style="height:14.15pt;width: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」諸形看作一種玉飾。但事實上從現有考古與傳世結果來觀察，我們無法在出土銅鼓及相關音樂文物上看到任何玉飾的痕跡，如山西陶寺遺址出土的龍山文化木鼓、史語所挖掘安陽殷墟1217大墓黿鼓、湖北崇陽汪家嘴馬鞍形紐銅鼓，以及傳世商代晚期雙鳥紐銅鼓等，均不見有玉裝飾的現象與伴隨出土紀錄，若當時的確運用玉器作為大鼓的裝飾，應該會有明顯的出土遺存。</w:t>
      </w:r>
      <w:r>
        <w:rPr>
          <w:rStyle w:val="13"/>
          <w:rFonts w:ascii="Times New Roman" w:hAnsi="Times New Roman"/>
        </w:rPr>
        <w:footnoteReference w:id="6"/>
      </w:r>
      <w:r>
        <w:rPr>
          <w:rFonts w:hint="eastAsia" w:ascii="Times New Roman" w:hAnsi="Times New Roman"/>
        </w:rPr>
        <w:t xml:space="preserve"> 由此看來，僅根據字形上的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64" o:spid="_x0000_s1088" type="#_x0000_t75" style="height:15.3pt;width:16.3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、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65" o:spid="_x0000_s1089" type="#_x0000_t75" style="height:17pt;width:17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、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66" o:spid="_x0000_s1090" type="#_x0000_t75" style="height:17pt;width:17pt;rotation:0f;" o:ole="f" fillcolor="#FFFFFF" filled="f" o:preferrelative="t" stroked="f" coordorigin="0,0" coordsize="21600,21600">
            <v:fill on="f" color2="#FFFFFF" focus="0%"/>
            <v:imagedata gain="65536f" blacklevel="0f" gamma="0" o:title="" r:id="rId3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等所謂的「玉」形便進一步推論豐是以玉裝飾的大鼓，事實上是缺少說服力的。</w:t>
      </w: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以安陽殷墟1217大墓黿鼓為例，此物原考古報告稱為木腔皮面鼓，其出土位於該墓墓道上，與石磬、木架殘骸同出，已受泥土侵入，基本上僅存輪廓外型、單邊鼓皮與裝飾物。據考古觀察周邊殘存物件與裝飾物，僅有麻龜片、蚌嵌片、石嵌片，未見任何與此鼓相關的玉製物品，</w:t>
      </w:r>
      <w:r>
        <w:rPr>
          <w:rStyle w:val="13"/>
          <w:rFonts w:ascii="Times New Roman" w:hAnsi="Times New Roman" w:cs="Times New Roman"/>
        </w:rPr>
        <w:footnoteReference w:id="7"/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/>
        </w:rPr>
        <w:t>可知至少在商代，貴族陪葬的大鼓，未必能斷言為皆裝飾以玉器。</w:t>
      </w:r>
    </w:p>
    <w:p>
      <w:pPr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宋体" w:cs="Times New Roman"/>
          <w:kern w:val="2"/>
          <w:sz w:val="20"/>
          <w:szCs w:val="20"/>
          <w:lang w:val="en-US" w:eastAsia="zh-TW" w:bidi="ar-SA"/>
        </w:rPr>
        <w:pict>
          <v:shape id="圖片 166" o:spid="_x0000_s1091" type="#_x0000_t75" style="height:245.55pt;width:391.4pt;rotation:0f;" o:ole="f" fillcolor="#FFFFFF" filled="f" o:preferrelative="t" stroked="f" coordorigin="0,0" coordsize="21600,21600">
            <v:fill on="f" color2="#FFFFFF" focus="0%"/>
            <v:imagedata gain="65536f" blacklevel="0f" gamma="0" o:title="" r:id="rId5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0"/>
          <w:szCs w:val="20"/>
        </w:rPr>
        <w:t>附圖: 1217大墓木腔皮面復原想像圖（《侯家莊第六本1217號大墓》插圖九，頁26）</w:t>
      </w:r>
    </w:p>
    <w:p>
      <w:pPr>
        <w:textAlignment w:val="center"/>
        <w:rPr>
          <w:rFonts w:ascii="Times New Roman" w:hAnsi="Times New Roman"/>
        </w:rPr>
      </w:pPr>
    </w:p>
    <w:p>
      <w:pPr>
        <w:ind w:firstLine="480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事實上，從古文字形體分析、傳世畫像、出土考古實物等面相來綜合觀察，本人認為豐（豊）字所從之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76" o:spid="_x0000_s1092" type="#_x0000_t75" style="height:15.3pt;width:16.3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、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73" o:spid="_x0000_s1093" type="#_x0000_t75" style="height:17pt;width:17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，如李宗焜所論並非作為聲符來標誌豐的音讀，而很可能是另一類裝飾物的象形。在金文中，我們可以列舉許多字例如下：</w:t>
      </w:r>
    </w:p>
    <w:p>
      <w:pPr>
        <w:ind w:firstLine="480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17" o:spid="_x0000_s1094" type="#_x0000_t75" style="height:34.85pt;width:2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5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（小臣宅簋）、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18" o:spid="_x0000_s1095" type="#_x0000_t75" style="height:34pt;width:24.1pt;rotation:0f;" o:ole="f" fillcolor="#FFFFFF" filled="f" o:preferrelative="t" stroked="f" coordorigin="0,0" coordsize="21600,21600">
            <v:fill on="f" color2="#FFFFFF" focus="0%"/>
            <v:imagedata gain="65536f" blacklevel="0f" gamma="0" o:title="" r:id="rId5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（裘衛盉）、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19" o:spid="_x0000_s1096" type="#_x0000_t75" style="height:34pt;width:27.95pt;rotation:0f;" o:ole="f" fillcolor="#FFFFFF" filled="f" o:preferrelative="t" stroked="f" coordorigin="0,0" coordsize="21600,21600">
            <v:fill on="f" color2="#FFFFFF" focus="0%"/>
            <v:imagedata gain="65536f" blacklevel="0f" gamma="0" o:title="" r:id="rId5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（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14" o:spid="_x0000_s1097" type="#_x0000_t75" style="height:11.15pt;width:11.5pt;rotation:0f;" o:ole="f" fillcolor="#FFFFFF" filled="f" o:preferrelative="t" stroked="f" coordorigin="0,0" coordsize="21600,21600">
            <v:fill on="f" color2="#FFFFFF" focus="0%"/>
            <v:imagedata gain="65536f" blacklevel="0f" gamma="0" o:title="" r:id="rId5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弔簋）</w:t>
      </w:r>
    </w:p>
    <w:p>
      <w:pPr>
        <w:ind w:firstLine="480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25" o:spid="_x0000_s1098" type="#_x0000_t75" style="height:34.9pt;width:26.3pt;rotation:0f;" o:ole="f" fillcolor="#FFFFFF" filled="f" o:preferrelative="t" stroked="f" coordorigin="0,0" coordsize="21600,21600">
            <v:fill on="f" color2="#FFFFFF" focus="0%"/>
            <v:imagedata gain="65536f" blacklevel="0f" gamma="0" o:title="" r:id="rId5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（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26" o:spid="_x0000_s1099" type="#_x0000_t75" style="height:11.3pt;width:11.75pt;rotation:0f;" o:ole="f" fillcolor="#FFFFFF" filled="f" o:preferrelative="t" stroked="f" coordorigin="0,0" coordsize="21600,21600">
            <v:fill on="f" color2="#FFFFFF" focus="0%"/>
            <v:imagedata gain="65536f" blacklevel="0f" gamma="0" o:title="" r:id="rId5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鐘）、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20" o:spid="_x0000_s1100" type="#_x0000_t75" style="height:37.25pt;width:19.5pt;rotation:0f;" o:ole="f" fillcolor="#FFFFFF" filled="f" o:preferrelative="t" stroked="f" coordorigin="0,0" coordsize="21600,21600">
            <v:fill on="f" color2="#FFFFFF" focus="0%"/>
            <v:imagedata gain="65536f" blacklevel="0f" gamma="0" o:title="" r:id="rId5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（右小臣豐卣）、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21" o:spid="_x0000_s1101" type="#_x0000_t75" style="height:35.1pt;width:26.95pt;rotation:0f;" o:ole="f" fillcolor="#FFFFFF" filled="f" o:preferrelative="t" stroked="f" coordorigin="0,0" coordsize="21600,21600">
            <v:fill on="f" color2="#FFFFFF" focus="0%"/>
            <v:imagedata gain="65536f" blacklevel="0f" gamma="0" o:title="" r:id="rId5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（申簋蓋）</w:t>
      </w:r>
      <w:r>
        <w:rPr>
          <w:rStyle w:val="13"/>
          <w:rFonts w:ascii="Times New Roman" w:hAnsi="Times New Roman"/>
        </w:rPr>
        <w:footnoteReference w:id="8"/>
      </w:r>
    </w:p>
    <w:p>
      <w:pPr>
        <w:ind w:firstLine="480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其實所謂的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68" o:spid="_x0000_s1102" type="#_x0000_t75" style="height:14.15pt;width:17pt;rotation:0f;" o:ole="f" fillcolor="#FFFFFF" filled="f" o:preferrelative="t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、</w:t>
      </w:r>
      <w:r>
        <w:rPr>
          <w:rFonts w:hint="eastAsia" w:ascii="DFKai-SB" w:hAnsi="DFKai-SB" w:eastAsia="DFKai-SB" w:cs="Times New Roman"/>
          <w:kern w:val="2"/>
          <w:sz w:val="24"/>
          <w:szCs w:val="24"/>
          <w:lang w:val="en-US" w:eastAsia="zh-TW" w:bidi="ar-SA"/>
        </w:rPr>
        <w:pict>
          <v:shape id="圖片 67" o:spid="_x0000_s1103" type="#_x0000_t75" style="height:17pt;width:17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等所謂「玉飾」，應即經由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70" o:spid="_x0000_s1104" type="#_x0000_t75" style="height:15.3pt;width:16.3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等形訛變形體所致，古人常為求刻寫方便而簡易文字形體。如雪字姜林母簋作「</w:t>
      </w:r>
      <w:r>
        <w:rPr>
          <w:rFonts w:hint="eastAsia" w:ascii="PMingLiU" w:hAnsi="PMingLiU" w:eastAsia="宋体" w:cs="Times New Roman"/>
          <w:kern w:val="2"/>
          <w:sz w:val="22"/>
          <w:szCs w:val="22"/>
          <w:lang w:val="en-US" w:eastAsia="zh-TW" w:bidi="ar-SA"/>
        </w:rPr>
        <w:pict>
          <v:shape id="圖片 170" o:spid="_x0000_s1105" type="#_x0000_t75" style="height:13.1pt;width:9.8pt;rotation:0f;" o:ole="f" fillcolor="#FFFFFF" filled="f" o:preferrelative="t" stroked="f" coordorigin="0,0" coordsize="21600,21600">
            <v:fill on="f" color2="#FFFFFF" focus="0%"/>
            <v:imagedata gain="65536f" blacklevel="0f" gamma="0" o:title="" r:id="rId6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」，《說文》小篆作「</w:t>
      </w:r>
      <w:r>
        <w:rPr>
          <w:rFonts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71" o:spid="_x0000_s1106" type="#_x0000_t75" style="height:11.75pt;width:7.7pt;rotation:0f;" o:ole="f" fillcolor="#FFFFFF" filled="f" o:preferrelative="t" stroked="f" coordorigin="0,0" coordsize="21600,21600">
            <v:fill on="f" color2="#FFFFFF" focus="0%"/>
            <v:imagedata gain="65536f" blacklevel="0f" gamma="0" o:title="" r:id="rId6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」，亦將「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172" o:spid="_x0000_s1107" type="#_x0000_t75" style="height:14.2pt;width: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6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」拉直成「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173" o:spid="_x0000_s1108" type="#_x0000_t75" style="height:13.1pt;width:11.45pt;rotation:0f;" o:ole="f" fillcolor="#FFFFFF" filled="f" o:preferrelative="t" stroked="f" coordorigin="0,0" coordsize="21600,21600">
            <v:fill on="f" color2="#FFFFFF" focus="0%"/>
            <v:imagedata gain="65536f" blacklevel="0f" gamma="0" o:title="" r:id="rId6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」；</w:t>
      </w:r>
      <w:r>
        <w:rPr>
          <w:rStyle w:val="13"/>
          <w:rFonts w:ascii="Times New Roman" w:hAnsi="Times New Roman"/>
        </w:rPr>
        <w:footnoteReference w:id="9"/>
      </w:r>
      <w:r>
        <w:rPr>
          <w:rFonts w:hint="eastAsia" w:ascii="Times New Roman" w:hAnsi="Times New Roman"/>
        </w:rPr>
        <w:t xml:space="preserve"> 甲骨金文豐或从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116" o:spid="_x0000_s1109" type="#_x0000_t75" style="height:15.3pt;width:16.3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，或从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13" o:spid="_x0000_s1110" type="#_x0000_t75" style="height:11.75pt;width:4.1pt;rotation:0f;" o:ole="f" fillcolor="#FFFFFF" filled="f" o:preferrelative="t" stroked="f" coordorigin="0,0" coordsize="21600,21600">
            <v:fill on="f" color2="#FFFFFF" focus="0%"/>
            <v:imagedata gain="65536f" blacklevel="0f" gamma="0" o:title="" r:id="rId6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，是較為原始的寫法，所象皆為大鼓上的裝飾。而從文獻以及出土文物來看，此種裝置於鼓上的裝飾物，應該是後世稱之為「羽葆」的鼓飾，或加流蘇於尾部，或加幢蓋於立柱之上。而以「羽葆」作為裝飾的，即為後世所稱之「建鼓」。羽葆最初很可能僅是使用較修長的鳥類羽毛作為建鼓之裝飾，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167" o:spid="_x0000_s1111" type="#_x0000_t75" style="height:15.3pt;width:16.3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68" o:spid="_x0000_s1112" type="#_x0000_t75" style="height:11.75pt;width:4.1pt;rotation:0f;" o:ole="f" fillcolor="#FFFFFF" filled="f" o:preferrelative="t" stroked="f" coordorigin="0,0" coordsize="21600,21600">
            <v:fill on="f" color2="#FFFFFF" focus="0%"/>
            <v:imagedata gain="65536f" blacklevel="0f" gamma="0" o:title="" r:id="rId6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69" o:spid="_x0000_s1113" type="#_x0000_t75" style="height:11.75pt;width:4.1pt;rotation:0f;" o:ole="f" fillcolor="#FFFFFF" filled="f" o:preferrelative="t" stroked="f" coordorigin="0,0" coordsize="21600,21600">
            <v:fill on="f" color2="#FFFFFF" focus="0%"/>
            <v:imagedata gain="65536f" blacklevel="0f" gamma="0" o:title="" r:id="rId6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左右對稱歧出的筆劃應是鳥羽對生的原始象形，這從甲骨文中「鳳」字尾羽寫法可以清楚了解；隨著時代演進以及美觀的需求，「羽葆」才開始使用布帛等絲織品，取代了原始的使用方式。</w:t>
      </w:r>
    </w:p>
    <w:p>
      <w:pPr>
        <w:ind w:firstLine="480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這種帶羽飾的建鼓形，最早見於河南汲縣山彪鎮戰國一號墓出土的「水陸攻戰紋鑒」:</w:t>
      </w:r>
      <w:r>
        <w:rPr>
          <w:rStyle w:val="13"/>
          <w:rFonts w:ascii="Times New Roman" w:hAnsi="Times New Roman" w:cs="Times New Roman"/>
        </w:rPr>
        <w:footnoteReference w:id="10"/>
      </w:r>
    </w:p>
    <w:p>
      <w:pPr>
        <w:jc w:val="center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2" o:spid="_x0000_s1114" type="#_x0000_t75" style="height:128.15pt;width:132.45pt;rotation:0f;" o:ole="f" fillcolor="#FFFFFF" filled="f" o:preferrelative="t" stroked="f" coordorigin="0,0" coordsize="21600,21600">
            <v:fill on="f" color2="#FFFFFF" focus="0%"/>
            <v:imagedata gain="65536f" blacklevel="0f" gamma="0" o:title="" r:id="rId6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extAlignment w:val="center"/>
        <w:rPr>
          <w:rFonts w:ascii="Times New Roman" w:hAnsi="Times New Roman"/>
        </w:rPr>
      </w:pPr>
    </w:p>
    <w:p>
      <w:pPr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/>
        </w:rPr>
        <w:t>類似圖形在漢畫像石所見更多，如南陽縣英庄M4墓出土畫像石「雷公」、</w:t>
      </w:r>
      <w:r>
        <w:rPr>
          <w:rStyle w:val="13"/>
          <w:rFonts w:ascii="Times New Roman" w:hAnsi="Times New Roman" w:cs="Times New Roman"/>
        </w:rPr>
        <w:footnoteReference w:id="11"/>
      </w:r>
    </w:p>
    <w:p>
      <w:pPr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1" o:spid="_x0000_s1115" type="#_x0000_t75" style="height:189.75pt;width:333.7pt;rotation:0f;" o:ole="f" fillcolor="#FFFFFF" filled="f" o:preferrelative="t" stroked="f" coordorigin="0,0" coordsize="21600,21600">
            <v:fill on="f" color2="#FFFFFF" focus="0%"/>
            <v:imagedata gain="65536f" blacklevel="0f" gamma="0" o:title="" r:id="rId6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extAlignment w:val="center"/>
        <w:rPr>
          <w:rFonts w:ascii="Times New Roman" w:hAnsi="Times New Roman"/>
        </w:rPr>
      </w:pP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「鼓樂」、「鼓舞」:</w:t>
      </w:r>
      <w:r>
        <w:rPr>
          <w:rStyle w:val="13"/>
          <w:rFonts w:ascii="Times New Roman" w:hAnsi="Times New Roman"/>
        </w:rPr>
        <w:footnoteReference w:id="12"/>
      </w:r>
    </w:p>
    <w:p>
      <w:pPr>
        <w:jc w:val="center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29" o:spid="_x0000_s1116" type="#_x0000_t75" style="height:124.05pt;width:360.45pt;rotation:0f;" o:ole="f" fillcolor="#FFFFFF" filled="f" o:preferrelative="t" stroked="f" coordorigin="0,0" coordsize="21600,21600">
            <v:fill on="f" color2="#FFFFFF" focus="0%"/>
            <v:imagedata gain="65536f" blacklevel="0f" gamma="0" o:title="" r:id="rId6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2" o:spid="_x0000_s1117" type="#_x0000_t75" style="height:122.75pt;width:380.3pt;rotation:0f;" o:ole="f" fillcolor="#FFFFFF" filled="f" o:preferrelative="t" stroked="f" coordorigin="0,0" coordsize="21600,21600">
            <v:fill on="f" color2="#FFFFFF" focus="0%"/>
            <v:imagedata gain="65536f" blacklevel="0f" gamma="0" o:title="" r:id="rId6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8" o:spid="_x0000_s1118" type="#_x0000_t75" style="height:129pt;width:368.3pt;rotation:0f;" o:ole="f" fillcolor="#FFFFFF" filled="f" o:preferrelative="t" stroked="f" coordorigin="0,0" coordsize="21600,21600">
            <v:fill on="f" color2="#FFFFFF" focus="0%"/>
            <v:imagedata gain="65536f" blacklevel="0f" gamma="0" o:title="" r:id="rId6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20" o:spid="_x0000_s1119" type="#_x0000_t75" style="height:111.15pt;width:364.15pt;rotation:0f;" o:ole="f" fillcolor="#FFFFFF" filled="f" o:preferrelative="t" stroked="f" coordorigin="0,0" coordsize="21600,21600">
            <v:fill on="f" color2="#FFFFFF" focus="0%"/>
            <v:imagedata gain="65536f" blacklevel="0f" gamma="0" o:title="" r:id="rId7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28" o:spid="_x0000_s1120" type="#_x0000_t75" style="height:125.55pt;width:365.55pt;rotation:0f;" o:ole="f" fillcolor="#FFFFFF" filled="f" o:preferrelative="t" stroked="f" coordorigin="0,0" coordsize="21600,21600">
            <v:fill on="f" color2="#FFFFFF" focus="0%"/>
            <v:imagedata gain="65536f" blacklevel="0f" gamma="0" o:title="" r:id="rId7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extAlignment w:val="center"/>
        <w:rPr>
          <w:rFonts w:ascii="Times New Roman" w:hAnsi="Times New Roman"/>
        </w:rPr>
      </w:pPr>
    </w:p>
    <w:p>
      <w:pPr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/>
        </w:rPr>
        <w:t>後代的羽葆也有演變為較為繁複者，如流蘇一般，不限於兩條，如</w:t>
      </w:r>
      <w:r>
        <w:rPr>
          <w:rFonts w:hint="eastAsia"/>
        </w:rPr>
        <w:t>沂南古畫像石墓畫像</w:t>
      </w:r>
      <w:r>
        <w:rPr>
          <w:rFonts w:hint="eastAsia" w:ascii="Times New Roman" w:hAnsi="Times New Roman"/>
        </w:rPr>
        <w:t>：</w:t>
      </w:r>
      <w:r>
        <w:rPr>
          <w:rStyle w:val="13"/>
          <w:rFonts w:ascii="Times New Roman" w:hAnsi="Times New Roman" w:cs="Times New Roman"/>
        </w:rPr>
        <w:footnoteReference w:id="13"/>
      </w:r>
    </w:p>
    <w:p>
      <w:pPr>
        <w:textAlignment w:val="center"/>
        <w:rPr>
          <w:rFonts w:ascii="Times New Roman" w:hAnsi="Times New Roman"/>
        </w:rPr>
      </w:pPr>
    </w:p>
    <w:p>
      <w:pPr>
        <w:jc w:val="center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47" o:spid="_x0000_s1121" type="#_x0000_t75" style="height:413.55pt;width:40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7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extAlignment w:val="center"/>
        <w:rPr>
          <w:rFonts w:ascii="Times New Roman" w:hAnsi="Times New Roman"/>
        </w:rPr>
      </w:pPr>
    </w:p>
    <w:p>
      <w:pPr>
        <w:textAlignment w:val="center"/>
        <w:rPr>
          <w:rFonts w:ascii="Times New Roman" w:hAnsi="Times New Roman" w:cs="Times New Roman"/>
          <w:spacing w:val="-8"/>
          <w:szCs w:val="24"/>
        </w:rPr>
      </w:pPr>
      <w:r>
        <w:rPr>
          <w:rFonts w:hint="eastAsia" w:ascii="Times New Roman" w:hAnsi="Times New Roman" w:cs="Times New Roman"/>
        </w:rPr>
        <w:t>出土文獻方面，</w:t>
      </w:r>
      <w:r>
        <w:rPr>
          <w:rFonts w:ascii="Times New Roman" w:hAnsi="Times New Roman" w:cs="Times New Roman"/>
        </w:rPr>
        <w:t>湖南長沙馬王堆3號墓曾出土樂簡十八枚，簡9釋文</w:t>
      </w:r>
      <w:r>
        <w:rPr>
          <w:rFonts w:ascii="Times New Roman" w:hAnsi="Times New Roman" w:cs="Times New Roman"/>
          <w:spacing w:val="-8"/>
          <w:szCs w:val="24"/>
        </w:rPr>
        <w:t>：</w:t>
      </w:r>
    </w:p>
    <w:p>
      <w:pPr>
        <w:textAlignment w:val="center"/>
        <w:rPr>
          <w:rFonts w:ascii="Times New Roman" w:hAnsi="Times New Roman" w:cs="Times New Roman"/>
          <w:spacing w:val="-8"/>
          <w:szCs w:val="24"/>
        </w:rPr>
      </w:pPr>
    </w:p>
    <w:p>
      <w:pPr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spacing w:val="-8"/>
          <w:szCs w:val="24"/>
        </w:rPr>
        <w:tab/>
      </w:r>
      <w:r>
        <w:rPr>
          <w:rFonts w:hint="eastAsia" w:ascii="Times New Roman" w:hAnsi="Times New Roman" w:cs="Times New Roman"/>
          <w:spacing w:val="-8"/>
          <w:szCs w:val="24"/>
        </w:rPr>
        <w:t>　</w:t>
      </w:r>
      <w:r>
        <w:rPr>
          <w:rFonts w:hint="eastAsia" w:ascii="KaiTi_GB2312" w:eastAsia="KaiTi_GB2312"/>
        </w:rPr>
        <w:t>建鼓一</w:t>
      </w:r>
      <w:r>
        <w:rPr>
          <w:rFonts w:hint="eastAsia" w:ascii="Times New Roman" w:hAnsi="Times New Roman"/>
        </w:rPr>
        <w:t>，</w:t>
      </w:r>
      <w:r>
        <w:rPr>
          <w:rFonts w:hint="eastAsia" w:ascii="KaiTi_GB2312" w:eastAsia="KaiTi_GB2312"/>
        </w:rPr>
        <w:t>羽栓</w:t>
      </w:r>
      <w:r>
        <w:rPr>
          <w:rFonts w:hint="eastAsia" w:ascii="KaiTi_GB2312" w:hAnsi="Calibri" w:eastAsia="KaiTi_GB2312" w:cs="Times New Roman"/>
          <w:kern w:val="2"/>
          <w:sz w:val="24"/>
          <w:szCs w:val="22"/>
          <w:lang w:val="en-US" w:eastAsia="zh-TW" w:bidi="ar-SA"/>
        </w:rPr>
        <w:pict>
          <v:shape id="圖片 128" o:spid="_x0000_s1122" type="#_x0000_t75" style="height:9.6pt;width:10.2pt;rotation:0f;" o:ole="f" fillcolor="#FFFFFF" filled="f" o:preferrelative="t" stroked="f" coordorigin="0,0" coordsize="21600,21600">
            <v:fill on="f" color2="#FFFFFF" focus="0%"/>
            <v:imagedata gain="65536f" blacklevel="0f" gamma="0" o:title="" r:id="rId7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KaiTi_GB2312" w:eastAsia="KaiTi_GB2312"/>
        </w:rPr>
        <w:t>卑二</w:t>
      </w:r>
      <w:r>
        <w:rPr>
          <w:rFonts w:hint="eastAsia" w:ascii="Times New Roman" w:hAnsi="Times New Roman"/>
        </w:rPr>
        <w:t>，</w:t>
      </w:r>
      <w:r>
        <w:rPr>
          <w:rFonts w:hint="eastAsia" w:ascii="KaiTi_GB2312" w:eastAsia="KaiTi_GB2312"/>
        </w:rPr>
        <w:t>鼓者二人操</w:t>
      </w:r>
      <w:r>
        <w:rPr>
          <w:rFonts w:hint="eastAsia" w:ascii="DFKai-SB" w:hAnsi="DFKai-SB" w:eastAsia="DFKai-SB"/>
        </w:rPr>
        <w:t>搶</w:t>
      </w:r>
      <w:r>
        <w:rPr>
          <w:rFonts w:hint="eastAsia" w:ascii="Times New Roman" w:hAnsi="Times New Roman"/>
        </w:rPr>
        <w:t>。</w:t>
      </w:r>
      <w:r>
        <w:rPr>
          <w:rStyle w:val="13"/>
          <w:rFonts w:ascii="Times New Roman" w:hAnsi="Times New Roman" w:cs="Times New Roman"/>
        </w:rPr>
        <w:footnoteReference w:id="14"/>
      </w:r>
    </w:p>
    <w:p>
      <w:pPr>
        <w:textAlignment w:val="center"/>
        <w:rPr>
          <w:rFonts w:ascii="Times New Roman" w:hAnsi="Times New Roman" w:cs="Times New Roman"/>
          <w:spacing w:val="-8"/>
          <w:szCs w:val="24"/>
        </w:rPr>
      </w:pP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王貴元曾指出：</w:t>
      </w:r>
    </w:p>
    <w:p>
      <w:pPr>
        <w:textAlignment w:val="center"/>
        <w:rPr>
          <w:rFonts w:ascii="Times New Roman" w:hAnsi="Times New Roman"/>
        </w:rPr>
      </w:pPr>
    </w:p>
    <w:p>
      <w:pPr>
        <w:widowControl/>
        <w:ind w:left="722"/>
        <w:rPr>
          <w:rFonts w:ascii="DFKai-SB" w:hAnsi="DFKai-SB" w:eastAsia="DFKai-SB" w:cs="PMingLiU"/>
          <w:kern w:val="0"/>
          <w:szCs w:val="24"/>
        </w:rPr>
      </w:pPr>
      <w:r>
        <w:rPr>
          <w:rFonts w:hint="eastAsia" w:ascii="DFKai-SB" w:hAnsi="DFKai-SB" w:eastAsia="DFKai-SB" w:cs="PMingLiU"/>
          <w:kern w:val="0"/>
          <w:szCs w:val="24"/>
        </w:rPr>
        <w:t>按，「栓」原形作</w:t>
      </w:r>
      <w:r>
        <w:rPr>
          <w:rFonts w:ascii="DFKai-SB" w:hAnsi="DFKai-SB" w:eastAsia="DFKai-SB" w:cs="PMingLiU"/>
          <w:kern w:val="0"/>
          <w:sz w:val="24"/>
          <w:szCs w:val="24"/>
          <w:lang w:val="en-US" w:eastAsia="zh-TW" w:bidi="ar-SA"/>
        </w:rPr>
        <w:pict>
          <v:shape id="圖片 135" o:spid="_x0000_s1123" type="#_x0000_t75" style="height:9.75pt;width:11.45pt;rotation:0f;" o:ole="f" fillcolor="#FFFFFF" filled="f" o:preferrelative="t" stroked="f" coordorigin="0,0" coordsize="21600,21600">
            <v:fill on="f" color2="#FFFFFF" focus="0%"/>
            <v:imagedata gain="65536f" blacklevel="0f" gamma="0" o:title="" r:id="rId7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 w:cs="PMingLiU"/>
          <w:kern w:val="0"/>
          <w:szCs w:val="24"/>
        </w:rPr>
        <w:t>，此是</w:t>
      </w:r>
      <w:r>
        <w:rPr>
          <w:rFonts w:ascii="DFKai-SB" w:hAnsi="DFKai-SB" w:eastAsia="DFKai-SB" w:cs="PMingLiU"/>
          <w:kern w:val="0"/>
          <w:sz w:val="24"/>
          <w:szCs w:val="24"/>
          <w:lang w:val="en-US" w:eastAsia="zh-TW" w:bidi="ar-SA"/>
        </w:rPr>
        <w:pict>
          <v:shape id="圖片 134" o:spid="_x0000_s1124" type="#_x0000_t75" style="height:9.1pt;width:9.8pt;rotation:0f;" o:ole="f" fillcolor="#FFFFFF" filled="f" o:preferrelative="t" stroked="f" coordorigin="0,0" coordsize="21600,21600">
            <v:fill on="f" color2="#FFFFFF" focus="0%"/>
            <v:imagedata gain="65536f" blacklevel="0f" gamma="0" o:title="" r:id="rId7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DFKai-SB" w:hAnsi="DFKai-SB" w:eastAsia="DFKai-SB" w:cs="PMingLiU"/>
          <w:kern w:val="0"/>
          <w:szCs w:val="24"/>
        </w:rPr>
        <w:t xml:space="preserve"> </w:t>
      </w:r>
      <w:r>
        <w:rPr>
          <w:rFonts w:hint="eastAsia" w:ascii="DFKai-SB" w:hAnsi="DFKai-SB" w:eastAsia="DFKai-SB" w:cs="PMingLiU"/>
          <w:kern w:val="0"/>
          <w:szCs w:val="24"/>
        </w:rPr>
        <w:t>字。羽</w:t>
      </w:r>
      <w:r>
        <w:rPr>
          <w:rFonts w:ascii="DFKai-SB" w:hAnsi="DFKai-SB" w:eastAsia="DFKai-SB" w:cs="PMingLiU"/>
          <w:kern w:val="0"/>
          <w:sz w:val="24"/>
          <w:szCs w:val="24"/>
          <w:lang w:val="en-US" w:eastAsia="zh-TW" w:bidi="ar-SA"/>
        </w:rPr>
        <w:pict>
          <v:shape id="圖片 133" o:spid="_x0000_s1125" type="#_x0000_t75" style="height:9.25pt;width:10pt;rotation:0f;" o:ole="f" fillcolor="#FFFFFF" filled="f" o:preferrelative="t" stroked="f" coordorigin="0,0" coordsize="21600,21600">
            <v:fill on="f" color2="#FFFFFF" focus="0%"/>
            <v:imagedata gain="65536f" blacklevel="0f" gamma="0" o:title="" r:id="rId7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DFKai-SB" w:hAnsi="DFKai-SB" w:eastAsia="DFKai-SB" w:cs="PMingLiU"/>
          <w:kern w:val="0"/>
          <w:szCs w:val="24"/>
        </w:rPr>
        <w:t xml:space="preserve"> </w:t>
      </w:r>
      <w:r>
        <w:rPr>
          <w:rFonts w:hint="eastAsia" w:ascii="DFKai-SB" w:hAnsi="DFKai-SB" w:eastAsia="DFKai-SB" w:cs="PMingLiU"/>
          <w:kern w:val="0"/>
          <w:szCs w:val="24"/>
        </w:rPr>
        <w:t>疑即羽翿，</w:t>
      </w:r>
      <w:r>
        <w:rPr>
          <w:rFonts w:ascii="DFKai-SB" w:hAnsi="DFKai-SB" w:eastAsia="DFKai-SB" w:cs="PMingLiU"/>
          <w:kern w:val="0"/>
          <w:sz w:val="24"/>
          <w:szCs w:val="24"/>
          <w:lang w:val="en-US" w:eastAsia="zh-TW" w:bidi="ar-SA"/>
        </w:rPr>
        <w:pict>
          <v:shape id="圖片 132" o:spid="_x0000_s1126" type="#_x0000_t75" style="height:9.25pt;width:10pt;rotation:0f;" o:ole="f" fillcolor="#FFFFFF" filled="f" o:preferrelative="t" stroked="f" coordorigin="0,0" coordsize="21600,21600">
            <v:fill on="f" color2="#FFFFFF" focus="0%"/>
            <v:imagedata gain="65536f" blacklevel="0f" gamma="0" o:title="" r:id="rId7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DFKai-SB" w:hAnsi="DFKai-SB" w:eastAsia="DFKai-SB" w:cs="PMingLiU"/>
          <w:kern w:val="0"/>
          <w:szCs w:val="24"/>
        </w:rPr>
        <w:t xml:space="preserve"> </w:t>
      </w:r>
      <w:r>
        <w:rPr>
          <w:rFonts w:hint="eastAsia" w:ascii="DFKai-SB" w:hAnsi="DFKai-SB" w:eastAsia="DFKai-SB" w:cs="PMingLiU"/>
          <w:kern w:val="0"/>
          <w:szCs w:val="24"/>
        </w:rPr>
        <w:t>，書母魚韻，翿，定母幽韻，聲類同為舌音，韻部旁轉。《經籍籑詁</w:t>
      </w:r>
      <w:r>
        <w:rPr>
          <w:rFonts w:hint="eastAsia" w:ascii="MS Mincho" w:hAnsi="MS Mincho" w:eastAsia="MS Mincho" w:cs="MS Mincho"/>
          <w:kern w:val="0"/>
          <w:szCs w:val="24"/>
        </w:rPr>
        <w:t>·</w:t>
      </w:r>
      <w:r>
        <w:rPr>
          <w:rFonts w:hint="eastAsia" w:ascii="DFKai-SB" w:hAnsi="DFKai-SB" w:eastAsia="DFKai-SB" w:cs="PMingLiU"/>
          <w:kern w:val="0"/>
          <w:szCs w:val="24"/>
        </w:rPr>
        <w:t>號韻》：「《禮記</w:t>
      </w:r>
      <w:r>
        <w:rPr>
          <w:rFonts w:hint="eastAsia" w:ascii="MS Mincho" w:hAnsi="MS Mincho" w:eastAsia="MS Mincho" w:cs="MS Mincho"/>
          <w:kern w:val="0"/>
          <w:szCs w:val="24"/>
        </w:rPr>
        <w:t>·</w:t>
      </w:r>
      <w:r>
        <w:rPr>
          <w:rFonts w:hint="eastAsia" w:ascii="DFKai-SB" w:hAnsi="DFKai-SB" w:eastAsia="DFKai-SB" w:cs="PMingLiU"/>
          <w:kern w:val="0"/>
          <w:szCs w:val="24"/>
        </w:rPr>
        <w:t>雜記》『匠人執羽葆禦柩』，《周禮</w:t>
      </w:r>
      <w:r>
        <w:rPr>
          <w:rFonts w:hint="eastAsia" w:ascii="MS Mincho" w:hAnsi="MS Mincho" w:eastAsia="MS Mincho" w:cs="MS Mincho"/>
          <w:kern w:val="0"/>
          <w:szCs w:val="24"/>
        </w:rPr>
        <w:t>·</w:t>
      </w:r>
      <w:r>
        <w:rPr>
          <w:rFonts w:hint="eastAsia" w:ascii="DFKai-SB" w:hAnsi="DFKai-SB" w:eastAsia="DFKai-SB" w:cs="PMingLiU"/>
          <w:kern w:val="0"/>
          <w:szCs w:val="24"/>
        </w:rPr>
        <w:t>鄉師注》作『匠人執翿以禦柩』。」南朝梁王筠《昭明太子哀冊文》：「羽翿前驅，雲旂北禦。」據漢代畫像石，建鼓鼓上一般裝飾有羽葆，如河南方城東關畫像石所刻大型建鼓，鼓頂飾一羽葆，沂南畫像石的建鼓，鼓頂有羽葆和旒蘇。</w:t>
      </w:r>
    </w:p>
    <w:p>
      <w:pPr>
        <w:widowControl/>
        <w:ind w:left="722"/>
        <w:rPr>
          <w:rFonts w:ascii="DFKai-SB" w:hAnsi="DFKai-SB" w:eastAsia="DFKai-SB" w:cs="PMingLiU"/>
          <w:kern w:val="0"/>
          <w:szCs w:val="24"/>
        </w:rPr>
      </w:pPr>
      <w:r>
        <w:rPr>
          <w:rFonts w:hint="eastAsia" w:ascii="DFKai-SB" w:hAnsi="DFKai-SB" w:eastAsia="DFKai-SB" w:cs="PMingLiU"/>
          <w:kern w:val="0"/>
          <w:szCs w:val="24"/>
        </w:rPr>
        <w:t>「卑二」，指建鼓上裝的兩面小鼓，據漢代畫像石，建鼓上常設小鼓，如南陽漢畫像石的建鼓，兩側鼓面下各設一小鼓。「卑」假為「鞞」，《詩經</w:t>
      </w:r>
      <w:r>
        <w:rPr>
          <w:rFonts w:hint="eastAsia" w:ascii="MS Mincho" w:hAnsi="MS Mincho" w:eastAsia="MS Mincho" w:cs="MS Mincho"/>
          <w:kern w:val="0"/>
          <w:szCs w:val="24"/>
        </w:rPr>
        <w:t>·</w:t>
      </w:r>
      <w:r>
        <w:rPr>
          <w:rFonts w:hint="eastAsia" w:ascii="DFKai-SB" w:hAnsi="DFKai-SB" w:eastAsia="DFKai-SB" w:cs="PMingLiU"/>
          <w:kern w:val="0"/>
          <w:szCs w:val="24"/>
        </w:rPr>
        <w:t>周頌</w:t>
      </w:r>
      <w:r>
        <w:rPr>
          <w:rFonts w:hint="eastAsia" w:ascii="MS Mincho" w:hAnsi="MS Mincho" w:eastAsia="MS Mincho" w:cs="MS Mincho"/>
          <w:kern w:val="0"/>
          <w:szCs w:val="24"/>
        </w:rPr>
        <w:t>·</w:t>
      </w:r>
      <w:r>
        <w:rPr>
          <w:rFonts w:hint="eastAsia" w:ascii="DFKai-SB" w:hAnsi="DFKai-SB" w:eastAsia="DFKai-SB" w:cs="PMingLiU"/>
          <w:kern w:val="0"/>
          <w:szCs w:val="24"/>
        </w:rPr>
        <w:t>有瞽》：「應朄縣鼓。」鄭玄注：「朄，小鼓，在大鼓旁，應、鞞之屬也。」《文選</w:t>
      </w:r>
      <w:r>
        <w:rPr>
          <w:rFonts w:hint="eastAsia" w:ascii="MS Mincho" w:hAnsi="MS Mincho" w:eastAsia="MS Mincho" w:cs="MS Mincho"/>
          <w:kern w:val="0"/>
          <w:szCs w:val="24"/>
        </w:rPr>
        <w:t>·</w:t>
      </w:r>
      <w:r>
        <w:rPr>
          <w:rFonts w:hint="eastAsia" w:ascii="DFKai-SB" w:hAnsi="DFKai-SB" w:eastAsia="DFKai-SB" w:cs="PMingLiU"/>
          <w:kern w:val="0"/>
          <w:szCs w:val="24"/>
        </w:rPr>
        <w:t>丘遲〈旦發魚浦潭〉》：「鳴鞞響遝障。」李善注引《字林》：「鞞，小鼓也。」簡一四「大鼓一，卑二」，「卑」所指同。</w:t>
      </w:r>
    </w:p>
    <w:p>
      <w:pPr>
        <w:widowControl/>
        <w:ind w:left="722"/>
        <w:rPr>
          <w:rFonts w:ascii="DFKai-SB" w:hAnsi="DFKai-SB" w:eastAsia="DFKai-SB" w:cs="PMingLiU"/>
          <w:kern w:val="0"/>
          <w:szCs w:val="24"/>
        </w:rPr>
      </w:pPr>
      <w:r>
        <w:rPr>
          <w:rFonts w:hint="eastAsia" w:ascii="DFKai-SB" w:hAnsi="DFKai-SB" w:eastAsia="DFKai-SB" w:cs="PMingLiU"/>
          <w:kern w:val="0"/>
          <w:szCs w:val="24"/>
        </w:rPr>
        <w:t>「搶」原形作</w:t>
      </w:r>
      <w:r>
        <w:rPr>
          <w:rFonts w:ascii="DFKai-SB" w:hAnsi="DFKai-SB" w:eastAsia="DFKai-SB" w:cs="PMingLiU"/>
          <w:kern w:val="0"/>
          <w:sz w:val="24"/>
          <w:szCs w:val="24"/>
          <w:lang w:val="en-US" w:eastAsia="zh-TW" w:bidi="ar-SA"/>
        </w:rPr>
        <w:pict>
          <v:shape id="圖片 131" o:spid="_x0000_s1127" type="#_x0000_t75" style="height:11.45pt;width: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7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 w:cs="PMingLiU"/>
          <w:kern w:val="0"/>
          <w:szCs w:val="24"/>
        </w:rPr>
        <w:t>，此是抱字，其右旁「包」的寫法，與簡七五、八</w:t>
      </w:r>
      <w:r>
        <w:rPr>
          <w:rFonts w:ascii="DFKai-SB" w:hAnsi="DFKai-SB" w:eastAsia="DFKai-SB" w:cs="PMingLiU"/>
          <w:kern w:val="0"/>
          <w:szCs w:val="24"/>
        </w:rPr>
        <w:t>0</w:t>
      </w:r>
      <w:r>
        <w:rPr>
          <w:rFonts w:hint="eastAsia" w:ascii="DFKai-SB" w:hAnsi="DFKai-SB" w:eastAsia="DFKai-SB" w:cs="PMingLiU"/>
          <w:kern w:val="0"/>
          <w:szCs w:val="24"/>
        </w:rPr>
        <w:t>的「鮑」和簡二三五的「炮」的右旁寫法相同。「抱」假為「枹」，《說文</w:t>
      </w:r>
      <w:r>
        <w:rPr>
          <w:rFonts w:hint="eastAsia" w:ascii="MS Mincho" w:hAnsi="MS Mincho" w:eastAsia="MS Mincho" w:cs="MS Mincho"/>
          <w:kern w:val="0"/>
          <w:szCs w:val="24"/>
        </w:rPr>
        <w:t>·</w:t>
      </w:r>
      <w:r>
        <w:rPr>
          <w:rFonts w:hint="eastAsia" w:ascii="DFKai-SB" w:hAnsi="DFKai-SB" w:eastAsia="DFKai-SB" w:cs="PMingLiU"/>
          <w:kern w:val="0"/>
          <w:szCs w:val="24"/>
        </w:rPr>
        <w:t>木部》：「枹，擊鼓杖也。」</w:t>
      </w:r>
    </w:p>
    <w:p>
      <w:pPr>
        <w:widowControl/>
        <w:ind w:left="722"/>
        <w:textAlignment w:val="center"/>
        <w:rPr>
          <w:rFonts w:ascii="Times New Roman" w:hAnsi="Times New Roman" w:eastAsia="DFKai-SB" w:cs="Times New Roman"/>
          <w:kern w:val="0"/>
          <w:szCs w:val="24"/>
        </w:rPr>
      </w:pPr>
      <w:r>
        <w:rPr>
          <w:rFonts w:hint="eastAsia" w:ascii="DFKai-SB" w:hAnsi="DFKai-SB" w:eastAsia="DFKai-SB" w:cs="PMingLiU"/>
          <w:kern w:val="0"/>
          <w:szCs w:val="24"/>
        </w:rPr>
        <w:t>如此則簡九應標點為「建鼓一，羽</w:t>
      </w:r>
      <w:r>
        <w:rPr>
          <w:rFonts w:ascii="DFKai-SB" w:hAnsi="DFKai-SB" w:eastAsia="DFKai-SB" w:cs="PMingLiU"/>
          <w:kern w:val="0"/>
          <w:sz w:val="24"/>
          <w:szCs w:val="24"/>
          <w:lang w:val="en-US" w:eastAsia="zh-TW" w:bidi="ar-SA"/>
        </w:rPr>
        <w:pict>
          <v:shape id="圖片 130" o:spid="_x0000_s1128" type="#_x0000_t75" style="height:8.2pt;width:8.85pt;rotation:0f;" o:ole="f" fillcolor="#FFFFFF" filled="f" o:preferrelative="t" stroked="f" coordorigin="0,0" coordsize="21600,21600">
            <v:fill on="f" color2="#FFFFFF" focus="0%"/>
            <v:imagedata gain="65536f" blacklevel="0f" gamma="0" o:title="" r:id="rId7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 w:cs="PMingLiU"/>
          <w:kern w:val="0"/>
          <w:szCs w:val="24"/>
        </w:rPr>
        <w:t>（翿）</w:t>
      </w:r>
      <w:r>
        <w:rPr>
          <w:rFonts w:hint="eastAsia" w:ascii="DFKai-SB" w:hAnsi="DFKai-SB" w:eastAsia="DFKai-SB" w:cs="PMingLiU"/>
          <w:kern w:val="0"/>
          <w:sz w:val="24"/>
          <w:szCs w:val="24"/>
          <w:lang w:val="en-US" w:eastAsia="zh-TW" w:bidi="ar-SA"/>
        </w:rPr>
        <w:pict>
          <v:shape id="圖片 136" o:spid="_x0000_s1129" type="#_x0000_t75" style="height:9.6pt;width:10.2pt;rotation:0f;" o:ole="f" fillcolor="#FFFFFF" filled="f" o:preferrelative="t" stroked="f" coordorigin="0,0" coordsize="21600,21600">
            <v:fill on="f" color2="#FFFFFF" focus="0%"/>
            <v:imagedata gain="65536f" blacklevel="0f" gamma="0" o:title="" r:id="rId7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 w:cs="PMingLiU"/>
          <w:kern w:val="0"/>
          <w:szCs w:val="24"/>
        </w:rPr>
        <w:t>，卑（鞞）二，鼓者二人操抱（枹）。」</w:t>
      </w:r>
      <w:r>
        <w:rPr>
          <w:rStyle w:val="13"/>
          <w:rFonts w:ascii="Times New Roman" w:hAnsi="Times New Roman" w:cs="Times New Roman"/>
        </w:rPr>
        <w:footnoteReference w:id="15"/>
      </w:r>
    </w:p>
    <w:p>
      <w:pPr>
        <w:widowControl/>
        <w:ind w:left="722"/>
        <w:textAlignment w:val="center"/>
        <w:rPr>
          <w:rFonts w:ascii="Times New Roman" w:hAnsi="Times New Roman" w:cs="PMingLiU"/>
          <w:kern w:val="0"/>
          <w:szCs w:val="24"/>
        </w:rPr>
      </w:pP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建鼓和羽翿紀錄於同一簡上，清楚可見西漢早期貴族視羽葆為建鼓的重要配件。</w:t>
      </w:r>
    </w:p>
    <w:p>
      <w:pPr>
        <w:ind w:firstLine="480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安徽舒城九里墩春秋墓出土銅鼓座有銘文「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74" o:spid="_x0000_s1130" type="#_x0000_t75" style="height:22.3pt;width:13.4pt;rotation:0f;" o:ole="f" fillcolor="#FFFFFF" filled="f" o:preferrelative="t" stroked="f" coordorigin="0,0" coordsize="21600,21600">
            <v:fill on="f" color2="#FFFFFF" focus="0%"/>
            <v:imagedata gain="65536f" blacklevel="0f" gamma="0" o:title="" r:id="rId7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鼓」二字，前字發掘報告釋為「建」，</w:t>
      </w:r>
      <w:r>
        <w:rPr>
          <w:rStyle w:val="13"/>
          <w:rFonts w:ascii="Times New Roman" w:hAnsi="Times New Roman"/>
        </w:rPr>
        <w:footnoteReference w:id="16"/>
      </w:r>
      <w:r>
        <w:rPr>
          <w:rFonts w:hint="eastAsia" w:ascii="Times New Roman" w:hAnsi="Times New Roman"/>
        </w:rPr>
        <w:t xml:space="preserve"> 殷滌非隸定為「雋」，讀為「晉」，曰：</w:t>
      </w:r>
    </w:p>
    <w:p>
      <w:pPr>
        <w:ind w:firstLine="480"/>
        <w:textAlignment w:val="center"/>
        <w:rPr>
          <w:rFonts w:ascii="Times New Roman" w:hAnsi="Times New Roman"/>
        </w:rPr>
      </w:pPr>
    </w:p>
    <w:p>
      <w:pPr>
        <w:ind w:left="708" w:leftChars="295"/>
        <w:textAlignment w:val="center"/>
        <w:rPr>
          <w:rFonts w:ascii="Times New Roman" w:hAnsi="Times New Roman" w:eastAsia="DFKai-SB" w:cs="Times New Roman"/>
          <w:kern w:val="0"/>
        </w:rPr>
      </w:pPr>
      <w:r>
        <w:rPr>
          <w:rFonts w:hint="eastAsia" w:ascii="DFKai-SB" w:hAnsi="DFKai-SB" w:eastAsia="DFKai-SB"/>
        </w:rPr>
        <w:t>青銅鼓座上為何鼓，有說為「建鼓」，認為它和湖北隨縣曾侯乙墓出土的「建鼓」相同或相似。有說是「雋鼓」，謂字從佳、從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78" o:spid="_x0000_s1131" type="#_x0000_t75" style="height:9.85pt;width:8.15pt;rotation:0f;" o:ole="f" fillcolor="#FFFFFF" filled="f" o:preferrelative="t" stroked="f" coordorigin="0,0" coordsize="21600,21600">
            <v:fill on="f" color2="#FFFFFF" focus="0%"/>
            <v:imagedata gain="65536f" blacklevel="0f" gamma="0" o:title="" r:id="rId7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、從土，并指責許慎《說文》雋自之形義均誤云：「雋字當從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77" o:spid="_x0000_s1132" type="#_x0000_t75" style="height:9.85pt;width:8.15pt;rotation:0f;" o:ole="f" fillcolor="#FFFFFF" filled="f" o:preferrelative="t" stroked="f" coordorigin="0,0" coordsize="21600,21600">
            <v:fill on="f" color2="#FFFFFF" focus="0%"/>
            <v:imagedata gain="65536f" blacklevel="0f" gamma="0" o:title="" r:id="rId7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，義為俊美，篆作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79" o:spid="_x0000_s1133" type="#_x0000_t75" style="height:7.8pt;width:9.1pt;rotation:0f;" o:ole="f" fillcolor="#FFFFFF" filled="f" o:preferrelative="t" stroked="f" coordorigin="0,0" coordsize="21600,21600">
            <v:fill on="f" color2="#FFFFFF" focus="0%"/>
            <v:imagedata gain="65536f" blacklevel="0f" gamma="0" o:title="" r:id="rId8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，乃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80" o:spid="_x0000_s1134" type="#_x0000_t75" style="height:9.85pt;width:8.15pt;rotation:0f;" o:ole="f" fillcolor="#FFFFFF" filled="f" o:preferrelative="t" stroked="f" coordorigin="0,0" coordsize="21600,21600">
            <v:fill on="f" color2="#FFFFFF" focus="0%"/>
            <v:imagedata gain="65536f" blacklevel="0f" gamma="0" o:title="" r:id="rId7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之偽變，此銘字下從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81" o:spid="_x0000_s1135" type="#_x0000_t75" style="height:9.85pt;width:8.15pt;rotation:0f;" o:ole="f" fillcolor="#FFFFFF" filled="f" o:preferrelative="t" stroked="f" coordorigin="0,0" coordsize="21600,21600">
            <v:fill on="f" color2="#FFFFFF" focus="0%"/>
            <v:imagedata gain="65536f" blacklevel="0f" gamma="0" o:title="" r:id="rId7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從土，乃坰字之變體，字假為晉。」二說孰為正確，今將曾侯乙墓「建鼓」和九里墩墓「雋鼓」各作一復原示意圖（圖二及圖一），以資比較，亦可知其梗概。</w:t>
      </w:r>
      <w:r>
        <w:rPr>
          <w:rStyle w:val="13"/>
          <w:rFonts w:ascii="Times New Roman" w:hAnsi="Times New Roman" w:eastAsia="DFKai-SB" w:cs="Times New Roman"/>
          <w:kern w:val="0"/>
        </w:rPr>
        <w:footnoteReference w:id="17"/>
      </w:r>
    </w:p>
    <w:p>
      <w:pPr>
        <w:ind w:left="708" w:leftChars="295"/>
        <w:textAlignment w:val="center"/>
        <w:rPr>
          <w:rFonts w:ascii="DFKai-SB" w:hAnsi="DFKai-SB" w:eastAsia="DFKai-SB"/>
        </w:rPr>
      </w:pP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何琳儀則釋作「隼」，曰：</w:t>
      </w:r>
    </w:p>
    <w:p>
      <w:pPr>
        <w:textAlignment w:val="center"/>
        <w:rPr>
          <w:rFonts w:ascii="Times New Roman" w:hAnsi="Times New Roman"/>
        </w:rPr>
      </w:pPr>
    </w:p>
    <w:p>
      <w:pPr>
        <w:ind w:left="708" w:leftChars="295"/>
        <w:textAlignment w:val="center"/>
        <w:rPr>
          <w:rFonts w:ascii="DFKai-SB" w:hAnsi="DFKai-SB" w:eastAsia="DFKai-SB"/>
        </w:rPr>
      </w:pPr>
      <w:r>
        <w:rPr>
          <w:rFonts w:hint="eastAsia" w:ascii="DFKai-SB" w:hAnsi="DFKai-SB" w:eastAsia="DFKai-SB"/>
        </w:rPr>
        <w:t>「隼鼓」，以其鼓架上有鳥形裝飾而命名，文獻音轉作「晉鼓」。凡此尚須今後出土實物進一步驗證，志此僅供考古工作者參考。</w:t>
      </w:r>
      <w:r>
        <w:rPr>
          <w:rStyle w:val="13"/>
          <w:rFonts w:ascii="Times New Roman" w:hAnsi="Times New Roman" w:cs="Times New Roman"/>
        </w:rPr>
        <w:footnoteReference w:id="18"/>
      </w:r>
    </w:p>
    <w:p>
      <w:pPr>
        <w:ind w:left="708" w:leftChars="295"/>
        <w:textAlignment w:val="center"/>
        <w:rPr>
          <w:rFonts w:ascii="Times New Roman" w:hAnsi="Times New Roman"/>
        </w:rPr>
      </w:pP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以上均為建鼓相關重要參考。由此可知，「豐」字初文構形實象以羽葆裝飾之建鼓，可能並非是「用玉裝飾的貴重大鼓」。此外，針對裘錫圭</w:t>
      </w:r>
      <w:r>
        <w:rPr>
          <w:rFonts w:hAnsi="PMingLiU"/>
          <w:spacing w:val="-8"/>
        </w:rPr>
        <w:t>〈</w:t>
      </w:r>
      <w:r>
        <w:rPr>
          <w:rFonts w:hint="eastAsia" w:hAnsi="PMingLiU"/>
          <w:spacing w:val="-8"/>
        </w:rPr>
        <w:t>甲骨文中的幾種樂器名稱</w:t>
      </w:r>
      <w:r>
        <w:rPr>
          <w:rFonts w:ascii="Times New Roman" w:hAnsi="Times New Roman"/>
          <w:spacing w:val="-8"/>
        </w:rPr>
        <w:t>〉</w:t>
      </w:r>
      <w:r>
        <w:rPr>
          <w:rFonts w:hint="eastAsia" w:ascii="Times New Roman" w:hAnsi="Times New Roman"/>
          <w:spacing w:val="-8"/>
        </w:rPr>
        <w:t>一文中對</w:t>
      </w:r>
      <w:r>
        <w:rPr>
          <w:rFonts w:hint="eastAsia" w:ascii="Times New Roman" w:hAnsi="Times New Roman"/>
        </w:rPr>
        <w:t>「鏞」字</w:t>
      </w:r>
      <w:r>
        <w:rPr>
          <w:rFonts w:hint="eastAsia" w:ascii="Times New Roman" w:hAnsi="Times New Roman"/>
          <w:spacing w:val="-8"/>
        </w:rPr>
        <w:t>的觀點，</w:t>
      </w:r>
      <w:r>
        <w:rPr>
          <w:rFonts w:hint="eastAsia" w:ascii="Times New Roman" w:hAnsi="Times New Roman"/>
        </w:rPr>
        <w:t>唐健垣曾表示：</w:t>
      </w:r>
    </w:p>
    <w:p>
      <w:pPr>
        <w:textAlignment w:val="center"/>
        <w:rPr>
          <w:rFonts w:ascii="Times New Roman" w:hAnsi="Times New Roman"/>
        </w:rPr>
      </w:pPr>
    </w:p>
    <w:p>
      <w:pPr>
        <w:ind w:left="708" w:leftChars="295"/>
        <w:textAlignment w:val="center"/>
        <w:rPr>
          <w:rFonts w:ascii="DFKai-SB" w:hAnsi="DFKai-SB" w:eastAsia="DFKai-SB"/>
        </w:rPr>
      </w:pPr>
      <w:r>
        <w:rPr>
          <w:rFonts w:hint="eastAsia" w:ascii="DFKai-SB" w:hAnsi="DFKai-SB" w:eastAsia="DFKai-SB"/>
        </w:rPr>
        <w:t>1983年裘錫圭氏鑑於卜辭每言「置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92" o:spid="_x0000_s1136" type="#_x0000_t75" style="height:17pt;width:13.4pt;rotation:0f;" o:ole="f" fillcolor="#FFFFFF" filled="f" o:preferrelative="t" stroked="f" coordorigin="0,0" coordsize="21600,21600">
            <v:fill on="f" color2="#FFFFFF" focus="0%"/>
            <v:imagedata gain="65536f" blacklevel="0f" gamma="0" o:title="" r:id="rId8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」、「奏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91" o:spid="_x0000_s1137" type="#_x0000_t75" style="height:17pt;width:13.4pt;rotation:0f;" o:ole="f" fillcolor="#FFFFFF" filled="f" o:preferrelative="t" stroked="f" coordorigin="0,0" coordsize="21600,21600">
            <v:fill on="f" color2="#FFFFFF" focus="0%"/>
            <v:imagedata gain="65536f" blacklevel="0f" gamma="0" o:title="" r:id="rId8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」，認為必是較大型（否則不必言置）之樂器；裘氏相信此字从庚从用，故定為說文之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93" o:spid="_x0000_s1138" type="#_x0000_t75" style="height:17pt;width:14.2pt;rotation:0f;" o:ole="f" fillcolor="#FFFFFF" filled="f" o:preferrelative="t" stroked="f" coordorigin="0,0" coordsize="21600,21600">
            <v:fill on="f" color2="#FFFFFF" focus="0%"/>
            <v:imagedata gain="65536f" blacklevel="0f" gamma="0" o:title="" r:id="rId8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字（庸），其結論是庸即古之鏞字，，解作大鐘，並引陳夢家之意見說鏞即商代之大鐃，乃口向上，甬柄向下植於座之大鐘（中華文史論叢一九八三年第二輯六十七至七十一頁）。</w:t>
      </w:r>
    </w:p>
    <w:p>
      <w:pPr>
        <w:ind w:left="708" w:leftChars="295"/>
        <w:textAlignment w:val="center"/>
        <w:rPr>
          <w:rFonts w:ascii="DFKai-SB" w:hAnsi="DFKai-SB" w:eastAsia="DFKai-SB"/>
        </w:rPr>
      </w:pPr>
      <w:r>
        <w:rPr>
          <w:rFonts w:hint="eastAsia" w:ascii="DFKai-SB" w:hAnsi="DFKai-SB" w:eastAsia="DFKai-SB"/>
        </w:rPr>
        <w:t>我亦認為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94" o:spid="_x0000_s1139" type="#_x0000_t75" style="height:17pt;width:13.4pt;rotation:0f;" o:ole="f" fillcolor="#FFFFFF" filled="f" o:preferrelative="t" stroked="f" coordorigin="0,0" coordsize="21600,21600">
            <v:fill on="f" color2="#FFFFFF" focus="0%"/>
            <v:imagedata gain="65536f" blacklevel="0f" gamma="0" o:title="" r:id="rId8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是庸字，近年出土之中山王鼎「寡人庸其德、嘉其力」，字作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96" o:spid="_x0000_s1140" type="#_x0000_t75" style="height:17pt;width:14.45pt;rotation:0f;" o:ole="f" fillcolor="#FFFFFF" filled="f" o:preferrelative="t" stroked="f" coordorigin="0,0" coordsize="21600,21600">
            <v:fill on="f" color2="#FFFFFF" focus="0%"/>
            <v:imagedata gain="65536f" blacklevel="0f" gamma="0" o:title="" r:id="rId8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，其下从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97" o:spid="_x0000_s1141" type="#_x0000_t75" style="height:14.15pt;width: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8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DFKai-SB" w:hAnsi="DFKai-SB" w:eastAsia="DFKai-SB"/>
        </w:rPr>
        <w:t>，確是用字。不過裘先生認為字象大鐃植於座，我則認為是象建鼓植於座，這是截然不同的分析。</w:t>
      </w:r>
      <w:r>
        <w:rPr>
          <w:rStyle w:val="13"/>
          <w:rFonts w:ascii="Times New Roman" w:hAnsi="Times New Roman" w:eastAsia="DFKai-SB" w:cs="Times New Roman"/>
        </w:rPr>
        <w:footnoteReference w:id="19"/>
      </w:r>
    </w:p>
    <w:p>
      <w:pPr>
        <w:ind w:left="708" w:leftChars="295"/>
        <w:textAlignment w:val="center"/>
        <w:rPr>
          <w:rFonts w:ascii="Times New Roman" w:hAnsi="Times New Roman"/>
        </w:rPr>
      </w:pPr>
    </w:p>
    <w:p>
      <w:pPr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唐</w:t>
      </w:r>
      <w:r>
        <w:rPr>
          <w:rFonts w:hint="eastAsia"/>
        </w:rPr>
        <w:t>健垣</w:t>
      </w:r>
      <w:r>
        <w:rPr>
          <w:rFonts w:hint="eastAsia" w:ascii="Times New Roman" w:hAnsi="Times New Roman"/>
        </w:rPr>
        <w:t>指出</w:t>
      </w:r>
      <w:r>
        <w:rPr>
          <w:rFonts w:hint="eastAsia" w:ascii="DFKai-SB" w:hAnsi="DFKai-SB" w:eastAsia="DFKai-SB" w:cs="Times New Roman"/>
          <w:kern w:val="2"/>
          <w:sz w:val="24"/>
          <w:szCs w:val="22"/>
          <w:lang w:val="en-US" w:eastAsia="zh-TW" w:bidi="ar-SA"/>
        </w:rPr>
        <w:pict>
          <v:shape id="圖片 98" o:spid="_x0000_s1142" type="#_x0000_t75" style="height:17pt;width:13.4pt;rotation:0f;" o:ole="f" fillcolor="#FFFFFF" filled="f" o:preferrelative="t" stroked="f" coordorigin="0,0" coordsize="21600,21600">
            <v:fill on="f" color2="#FFFFFF" focus="0%"/>
            <v:imagedata gain="65536f" blacklevel="0f" gamma="0" o:title="" r:id="rId8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字象建鼓之形的觀點，來自於將所从之「庚」釋作某種有飾物的木腔雙面小鼓的見解，「庸」字肯定不是後代的青銅大鐘，也不是「鉦」或「句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29" o:spid="_x0000_s1143" type="#_x0000_t75" style="height:10.9pt;width:11.4pt;rotation:0f;" o:ole="f" fillcolor="#FFFFFF" filled="f" o:preferrelative="t" stroked="f" coordorigin="0,0" coordsize="21600,21600">
            <v:fill on="f" color2="#FFFFFF" focus="0%"/>
            <v:imagedata gain="65536f" blacklevel="0f" gamma="0" o:title="" r:id="rId8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」之類的青銅器，然此觀點在字形上見仁見智，欠缺考古實物證據，也與目前可見之傳世建鼓畫像資料迥然不類，所以本文在此一併提出，供學者參考。</w:t>
      </w:r>
    </w:p>
    <w:p>
      <w:pPr>
        <w:textAlignment w:val="center"/>
        <w:rPr>
          <w:rFonts w:ascii="Times New Roman" w:hAnsi="Times New Roman"/>
        </w:rPr>
      </w:pPr>
    </w:p>
    <w:p>
      <w:pPr>
        <w:textAlignment w:val="center"/>
        <w:rPr>
          <w:rFonts w:ascii="Times New Roman" w:hAnsi="Times New Roman"/>
        </w:rPr>
      </w:pPr>
    </w:p>
    <w:p>
      <w:pPr>
        <w:jc w:val="center"/>
        <w:textAlignment w:val="center"/>
        <w:rPr>
          <w:rFonts w:ascii="DFKai-SB" w:hAnsi="DFKai-SB" w:eastAsia="DFKai-SB"/>
          <w:sz w:val="28"/>
          <w:szCs w:val="28"/>
        </w:rPr>
      </w:pPr>
      <w:r>
        <w:rPr>
          <w:rFonts w:hint="eastAsia" w:ascii="DFKai-SB" w:hAnsi="DFKai-SB" w:eastAsia="DFKai-SB"/>
          <w:sz w:val="28"/>
          <w:szCs w:val="28"/>
        </w:rPr>
        <w:t>結語</w:t>
      </w:r>
    </w:p>
    <w:p>
      <w:pPr>
        <w:textAlignment w:val="center"/>
        <w:rPr>
          <w:rFonts w:ascii="Times New Roman" w:hAnsi="Times New Roman"/>
        </w:rPr>
      </w:pPr>
    </w:p>
    <w:p>
      <w:pPr>
        <w:ind w:firstLine="480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金文「豐」字的構形，不論所从為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122" o:spid="_x0000_s1144" type="#_x0000_t75" style="height:15.3pt;width:16.3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55" o:spid="_x0000_s1145" type="#_x0000_t75" style="height:14.15pt;width:12.55pt;rotation:0f;" o:ole="f" fillcolor="#FFFFFF" filled="f" o:preferrelative="t" stroked="f" coordorigin="0,0" coordsize="21600,21600">
            <v:fill on="f" color2="#FFFFFF" focus="0%"/>
            <v:imagedata gain="65536f" blacklevel="0f" gamma="0" o:title="" r:id="rId8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、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23" o:spid="_x0000_s1146" type="#_x0000_t75" style="height:11.75pt;width:4.1pt;rotation:0f;" o:ole="f" fillcolor="#FFFFFF" filled="f" o:preferrelative="t" stroked="f" coordorigin="0,0" coordsize="21600,21600">
            <v:fill on="f" color2="#FFFFFF" focus="0%"/>
            <v:imagedata gain="65536f" blacklevel="0f" gamma="0" o:title="" r:id="rId6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37" o:spid="_x0000_s1147" type="#_x0000_t75" style="height:11.75pt;width:4.1pt;rotation:0f;" o:ole="f" fillcolor="#FFFFFF" filled="f" o:preferrelative="t" stroked="f" coordorigin="0,0" coordsize="21600,21600">
            <v:fill on="f" color2="#FFFFFF" focus="0%"/>
            <v:imagedata gain="65536f" blacklevel="0f" gamma="0" o:title="" r:id="rId6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，鼓上的都應該都是「羽葆」之形。至於為何从雙木之「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3" o:spid="_x0000_s1148" type="#_x0000_t75" style="height:11.75pt;width:4.1pt;rotation:0f;" o:ole="f" fillcolor="#FFFFFF" filled="f" o:preferrelative="t" stroked="f" coordorigin="0,0" coordsize="21600,21600">
            <v:fill on="f" color2="#FFFFFF" focus="0%"/>
            <v:imagedata gain="65536f" blacklevel="0f" gamma="0" o:title="" r:id="rId6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31" o:spid="_x0000_s1149" type="#_x0000_t75" style="height:11.75pt;width:4.1pt;rotation:0f;" o:ole="f" fillcolor="#FFFFFF" filled="f" o:preferrelative="t" stroked="f" coordorigin="0,0" coordsize="21600,21600">
            <v:fill on="f" color2="#FFFFFF" focus="0%"/>
            <v:imagedata gain="65536f" blacklevel="0f" gamma="0" o:title="" r:id="rId6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」，或許是「</w:t>
      </w:r>
      <w:r>
        <w:rPr>
          <w:rFonts w:hint="eastAsia" w:ascii="DFKai-SB" w:hAnsi="DFKai-SB" w:eastAsia="DFKai-SB" w:cs="Times New Roman"/>
          <w:kern w:val="2"/>
          <w:sz w:val="22"/>
          <w:szCs w:val="22"/>
          <w:lang w:val="en-US" w:eastAsia="zh-TW" w:bidi="ar-SA"/>
        </w:rPr>
        <w:pict>
          <v:shape id="圖片 41" o:spid="_x0000_s1150" type="#_x0000_t75" style="height:15.3pt;width:16.3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」下部的斜劃倒錯所置；相同構形上的例證如「折」、「析」二字偏旁的演變。漢畫像磚中羽葆一般是兩個，也有四個、六個、甚至多個如流蘇般，非常繁複，可參山東沂南「建鼓」圖。從字形上來推測，建鼓「羽葆」最初很可能僅是使用較修長的鳥類羽毛作為建鼓之裝飾，隨著時代演進以及美觀的需求，「羽葆」才開始使用布帛等絲織品，取代了原始的使用方式。</w:t>
      </w:r>
    </w:p>
    <w:p>
      <w:pPr>
        <w:ind w:firstLine="480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羽葆裝飾於建鼓之外，由上至下，左右對稱，「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58" o:spid="_x0000_s1151" type="#_x0000_t75" style="height:11.3pt;width:11.75pt;rotation:0f;" o:ole="f" fillcolor="#FFFFFF" filled="f" o:preferrelative="t" stroked="f" coordorigin="0,0" coordsize="21600,21600">
            <v:fill on="f" color2="#FFFFFF" focus="0%"/>
            <v:imagedata gain="65536f" blacklevel="0f" gamma="0" o:title="" r:id="rId5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鐘」的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59" o:spid="_x0000_s1152" type="#_x0000_t75" style="height:15.15pt;width:10.95pt;rotation:0f;" o:ole="f" fillcolor="#FFFFFF" filled="f" o:preferrelative="t" stroked="f" coordorigin="0,0" coordsize="21600,21600">
            <v:fill on="f" color2="#FFFFFF" focus="0%"/>
            <v:imagedata gain="65536f" blacklevel="0f" gamma="0" o:title="" r:id="rId8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字是比較寫實的寫法。而在金文中常可見到「</w:t>
      </w:r>
      <w:r>
        <w:rPr>
          <w:rFonts w:hint="eastAsia"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163" o:spid="_x0000_s1153" type="#_x0000_t75" style="height:12.45pt;width:12pt;rotation:0f;" o:ole="f" fillcolor="#FFFFFF" filled="f" o:preferrelative="t" stroked="f" coordorigin="0,0" coordsize="21600,21600">
            <v:fill on="f" color2="#FFFFFF" focus="0%"/>
            <v:imagedata gain="65536f" blacklevel="0f" gamma="0" o:title="" r:id="rId8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/>
        </w:rPr>
        <w:t>」作為擊鐘的狀聲詞，從其字結構來看，所表示的應是一種與鼓聲特徵類似，低沉渾厚的聲音。</w:t>
      </w:r>
    </w:p>
    <w:p>
      <w:pPr>
        <w:ind w:firstLine="480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裘錫圭根據文獻推測甲骨文中的「豐」本指大鼓，本文認為其所指大鼓應該正確無誤，但若以後世專名而言，應即後世所稱建鼓，其認為用玉飾的貴重大鼓之意見，恐怕有待修正。本文論證豐字上部為「羽葆」之形的觀點，從圖像如水陸攻戰圖、漢畫像以及文字演變情況來印證，應該可以成立。</w:t>
      </w:r>
    </w:p>
    <w:p>
      <w:pPr>
        <w:textAlignment w:val="center"/>
        <w:rPr>
          <w:rFonts w:ascii="Times New Roman" w:hAnsi="Times New Roman"/>
        </w:rPr>
      </w:pPr>
    </w:p>
    <w:p>
      <w:pPr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宋体" w:cs="Times New Roman"/>
          <w:kern w:val="2"/>
          <w:sz w:val="24"/>
          <w:szCs w:val="22"/>
          <w:lang w:val="en-US" w:eastAsia="zh-TW" w:bidi="ar-SA"/>
        </w:rPr>
        <w:pict>
          <v:shape id="圖片 72" o:spid="_x0000_s1154" type="#_x0000_t75" style="height:502pt;width:415.5pt;rotation:0f;" o:ole="f" fillcolor="#FFFFFF" filled="f" o:preferrelative="t" stroked="f" coordorigin="0,0" coordsize="21600,21600">
            <v:fill on="f" color2="#FFFFFF" focus="0%"/>
            <v:imagedata gain="65536f" blacklevel="0f" gamma="0" o:title="" r:id="rId8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extAlignment w:val="center"/>
        <w:rPr>
          <w:rFonts w:ascii="Times New Roman" w:hAnsi="Times New Roman"/>
        </w:rPr>
      </w:pPr>
    </w:p>
    <w:p>
      <w:pPr>
        <w:textAlignment w:val="center"/>
        <w:rPr>
          <w:rFonts w:ascii="Times New Roman" w:hAnsi="Times New Roman"/>
          <w:sz w:val="20"/>
          <w:szCs w:val="20"/>
        </w:rPr>
      </w:pPr>
      <w:r>
        <w:rPr>
          <w:rFonts w:hint="eastAsia" w:ascii="Times New Roman" w:hAnsi="Times New Roman"/>
          <w:sz w:val="20"/>
          <w:szCs w:val="20"/>
        </w:rPr>
        <w:t>附圖：人形饕餮紋雙禽飾銅鼓（</w:t>
      </w:r>
      <w:r>
        <w:rPr>
          <w:rFonts w:hint="eastAsia"/>
          <w:sz w:val="20"/>
          <w:szCs w:val="20"/>
        </w:rPr>
        <w:t>《新修泉屋清賞圖錄》圖64，頁125</w:t>
      </w:r>
      <w:r>
        <w:rPr>
          <w:rFonts w:hint="eastAsia" w:ascii="Times New Roman" w:hAnsi="Times New Roman"/>
          <w:sz w:val="20"/>
          <w:szCs w:val="20"/>
        </w:rPr>
        <w:t>）</w:t>
      </w:r>
    </w:p>
    <w:p>
      <w:pPr>
        <w:widowControl/>
        <w:rPr>
          <w:rFonts w:ascii="Times New Roman" w:hAnsi="Times New Roman"/>
          <w:sz w:val="20"/>
          <w:szCs w:val="20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KaiTi_GB2312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TW"/>
      </w:rPr>
      <w:t>9</w:t>
    </w:r>
    <w:r>
      <w:fldChar w:fldCharType="end"/>
    </w:r>
  </w:p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id="0">
    <w:p>
      <w:pPr>
        <w:pStyle w:val="9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以下所引「豐」字甲骨文字形採自劉釗、洪颺、張新俊編纂：《新甲骨文編》（福州：福建人民出版社，2009年5月），頁293-294。</w:t>
      </w:r>
    </w:p>
  </w:footnote>
  <w:footnote w:id="1">
    <w:p>
      <w:pPr>
        <w:pStyle w:val="9"/>
        <w:rPr>
          <w:rFonts w:ascii="Times New Roman" w:hAnsi="Times New Roman" w:cs="Times New Roman"/>
        </w:rPr>
      </w:pPr>
      <w:r>
        <w:rPr>
          <w:rStyle w:val="13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黃德寬主編：《古</w:t>
      </w:r>
      <w:r>
        <w:rPr>
          <w:rFonts w:hint="eastAsia" w:ascii="Times New Roman" w:hAnsi="Times New Roman" w:cs="Times New Roman"/>
        </w:rPr>
        <w:t>文</w:t>
      </w:r>
      <w:r>
        <w:rPr>
          <w:rFonts w:ascii="Times New Roman" w:hAnsi="Times New Roman" w:cs="Times New Roman"/>
        </w:rPr>
        <w:t>字系譜疏證》（</w:t>
      </w:r>
      <w:r>
        <w:rPr>
          <w:rFonts w:hint="eastAsia" w:ascii="Times New Roman" w:hAnsi="Times New Roman" w:cs="Times New Roman"/>
        </w:rPr>
        <w:t>北京：商務印書館，2007年2月</w:t>
      </w:r>
      <w:r>
        <w:rPr>
          <w:rFonts w:ascii="Times New Roman" w:hAnsi="Times New Roman" w:cs="Times New Roman"/>
        </w:rPr>
        <w:t>），頁1240。</w:t>
      </w:r>
    </w:p>
  </w:footnote>
  <w:footnote w:id="2">
    <w:p>
      <w:pPr>
        <w:pStyle w:val="9"/>
        <w:rPr>
          <w:rFonts w:ascii="Times New Roman" w:hAnsi="Times New Roman" w:cs="Times New Roman"/>
        </w:rPr>
      </w:pPr>
      <w:r>
        <w:rPr>
          <w:rStyle w:val="13"/>
        </w:rPr>
        <w:footnoteRef/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</w:rPr>
        <w:t>裘錫圭</w:t>
      </w:r>
      <w:r>
        <w:rPr>
          <w:rFonts w:hAnsi="PMingLiU"/>
          <w:spacing w:val="-8"/>
        </w:rPr>
        <w:t>：〈</w:t>
      </w:r>
      <w:r>
        <w:rPr>
          <w:rFonts w:hint="eastAsia" w:hAnsi="PMingLiU"/>
          <w:spacing w:val="-8"/>
        </w:rPr>
        <w:t>甲骨文中的幾種樂器名稱</w:t>
      </w:r>
      <w:r>
        <w:rPr>
          <w:rFonts w:hint="eastAsia" w:ascii="Times New Roman" w:hAnsi="Times New Roman"/>
          <w:spacing w:val="-8"/>
        </w:rPr>
        <w:t>──釋「庸」「豐」「鞀」</w:t>
      </w:r>
      <w:r>
        <w:rPr>
          <w:rFonts w:ascii="Times New Roman" w:hAnsi="Times New Roman"/>
          <w:spacing w:val="-8"/>
        </w:rPr>
        <w:t>〉</w:t>
      </w:r>
      <w:r>
        <w:rPr>
          <w:rFonts w:hAnsi="PMingLiU"/>
          <w:spacing w:val="-8"/>
        </w:rPr>
        <w:t>，</w:t>
      </w:r>
      <w:r>
        <w:rPr>
          <w:rFonts w:ascii="Times New Roman" w:hAnsi="Times New Roman" w:cs="Times New Roman"/>
          <w:spacing w:val="-8"/>
        </w:rPr>
        <w:t>《古文字論集》（北京：中華書局，1992年8月），頁200。</w:t>
      </w:r>
    </w:p>
  </w:footnote>
  <w:footnote w:id="3">
    <w:p>
      <w:pPr>
        <w:pStyle w:val="9"/>
      </w:pPr>
      <w:r>
        <w:rPr>
          <w:rStyle w:val="13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林澐</w:t>
      </w:r>
      <w:r>
        <w:rPr>
          <w:rFonts w:ascii="Times New Roman" w:hAnsi="Times New Roman" w:cs="Times New Roman"/>
          <w:spacing w:val="-8"/>
        </w:rPr>
        <w:t>：〈豊豐辨〉，《林澐學術文集》（北京：中國大百科全書出版社，1998年12月），頁5-6</w:t>
      </w:r>
      <w:r>
        <w:rPr>
          <w:rFonts w:hint="eastAsia" w:hAnsi="PMingLiU"/>
          <w:spacing w:val="-8"/>
        </w:rPr>
        <w:t>。</w:t>
      </w:r>
    </w:p>
  </w:footnote>
  <w:footnote w:id="4">
    <w:p>
      <w:pPr>
        <w:textAlignment w:val="center"/>
        <w:rPr>
          <w:rFonts w:ascii="Times New Roman" w:hAnsi="Times New Roman"/>
          <w:sz w:val="20"/>
          <w:szCs w:val="20"/>
        </w:rPr>
      </w:pPr>
      <w:r>
        <w:rPr>
          <w:rStyle w:val="13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李宗焜</w:t>
      </w:r>
      <w:r>
        <w:rPr>
          <w:rFonts w:ascii="Times New Roman" w:hAnsi="Times New Roman" w:cs="Times New Roman"/>
          <w:spacing w:val="-8"/>
          <w:sz w:val="20"/>
          <w:szCs w:val="20"/>
        </w:rPr>
        <w:t>：〈</w:t>
      </w:r>
      <w:r>
        <w:rPr>
          <w:rFonts w:hint="eastAsia" w:ascii="Times New Roman" w:hAnsi="Times New Roman" w:cs="Times New Roman"/>
          <w:spacing w:val="-8"/>
          <w:sz w:val="20"/>
          <w:szCs w:val="20"/>
        </w:rPr>
        <w:t>從</w:t>
      </w:r>
      <w:r>
        <w:rPr>
          <w:rFonts w:ascii="Times New Roman" w:hAnsi="Times New Roman" w:cs="Times New Roman"/>
          <w:spacing w:val="-8"/>
          <w:sz w:val="20"/>
          <w:szCs w:val="20"/>
        </w:rPr>
        <w:t>豐豊</w:t>
      </w:r>
      <w:r>
        <w:rPr>
          <w:rFonts w:hint="eastAsia" w:ascii="Times New Roman" w:hAnsi="Times New Roman" w:cs="Times New Roman"/>
          <w:spacing w:val="-8"/>
          <w:sz w:val="20"/>
          <w:szCs w:val="20"/>
        </w:rPr>
        <w:t>同形談商代的新酒與陳釀</w:t>
      </w:r>
      <w:r>
        <w:rPr>
          <w:rFonts w:ascii="Times New Roman" w:hAnsi="Times New Roman" w:cs="Times New Roman"/>
          <w:spacing w:val="-8"/>
          <w:sz w:val="20"/>
          <w:szCs w:val="20"/>
        </w:rPr>
        <w:t>〉，</w:t>
      </w:r>
      <w:r>
        <w:rPr>
          <w:rFonts w:hint="eastAsia" w:ascii="Times New Roman" w:hAnsi="Times New Roman" w:cs="Times New Roman"/>
          <w:spacing w:val="-8"/>
          <w:sz w:val="20"/>
          <w:szCs w:val="20"/>
        </w:rPr>
        <w:t>發表於中央研究院主辦：「第四屆國際漢學會議」（臺北：中央研究院歷史語言研究所，2012年6月20-22日），頁6</w:t>
      </w:r>
      <w:r>
        <w:rPr>
          <w:rFonts w:hint="eastAsia" w:hAnsi="PMingLiU"/>
          <w:spacing w:val="-8"/>
          <w:sz w:val="20"/>
          <w:szCs w:val="20"/>
        </w:rPr>
        <w:t>。按，</w:t>
      </w:r>
      <w:r>
        <w:rPr>
          <w:rFonts w:hint="eastAsia" w:ascii="Times New Roman" w:hAnsi="Times New Roman"/>
          <w:sz w:val="20"/>
          <w:szCs w:val="20"/>
        </w:rPr>
        <w:t>容庚較早已提到「</w:t>
      </w:r>
      <w:r>
        <w:rPr>
          <w:rFonts w:hint="eastAsia" w:ascii="DFKai-SB" w:hAnsi="DFKai-SB" w:eastAsia="DFKai-SB"/>
          <w:sz w:val="20"/>
          <w:szCs w:val="20"/>
        </w:rPr>
        <w:t>豐，金文醴之偏旁形與此同，與豊為一字</w:t>
      </w:r>
      <w:r>
        <w:rPr>
          <w:rFonts w:hint="eastAsia" w:ascii="Times New Roman" w:hAnsi="Times New Roman"/>
          <w:sz w:val="20"/>
          <w:szCs w:val="20"/>
        </w:rPr>
        <w:t>」參</w:t>
      </w:r>
      <w:r>
        <w:rPr>
          <w:rFonts w:ascii="Times New Roman" w:hAnsi="Times New Roman" w:cs="Times New Roman"/>
          <w:spacing w:val="-8"/>
        </w:rPr>
        <w:t>《</w:t>
      </w:r>
      <w:r>
        <w:rPr>
          <w:rFonts w:hint="eastAsia" w:ascii="Times New Roman" w:hAnsi="Times New Roman"/>
          <w:sz w:val="20"/>
          <w:szCs w:val="20"/>
        </w:rPr>
        <w:t>金文編</w:t>
      </w:r>
      <w:r>
        <w:rPr>
          <w:rFonts w:ascii="Times New Roman" w:hAnsi="Times New Roman" w:cs="Times New Roman"/>
          <w:spacing w:val="-8"/>
        </w:rPr>
        <w:t>》</w:t>
      </w:r>
      <w:r>
        <w:rPr>
          <w:rFonts w:hint="eastAsia" w:ascii="Times New Roman" w:hAnsi="Times New Roman"/>
          <w:sz w:val="20"/>
          <w:szCs w:val="20"/>
        </w:rPr>
        <w:t>卷五</w:t>
      </w:r>
      <w:r>
        <w:rPr>
          <w:rFonts w:ascii="Times New Roman" w:hAnsi="Times New Roman"/>
          <w:sz w:val="20"/>
          <w:szCs w:val="20"/>
        </w:rPr>
        <w:t>（北京：</w:t>
      </w:r>
      <w:r>
        <w:rPr>
          <w:rFonts w:hint="eastAsia" w:ascii="Times New Roman" w:hAnsi="Times New Roman"/>
          <w:sz w:val="20"/>
          <w:szCs w:val="20"/>
        </w:rPr>
        <w:t>中華書局</w:t>
      </w:r>
      <w:r>
        <w:rPr>
          <w:rFonts w:ascii="Times New Roman" w:hAnsi="Times New Roman"/>
          <w:sz w:val="20"/>
          <w:szCs w:val="20"/>
        </w:rPr>
        <w:t>，19</w:t>
      </w:r>
      <w:r>
        <w:rPr>
          <w:rFonts w:hint="eastAsia" w:ascii="Times New Roman" w:hAnsi="Times New Roman"/>
          <w:sz w:val="20"/>
          <w:szCs w:val="20"/>
        </w:rPr>
        <w:t>85</w:t>
      </w:r>
      <w:r>
        <w:rPr>
          <w:rFonts w:ascii="Times New Roman" w:hAnsi="Times New Roman"/>
          <w:sz w:val="20"/>
          <w:szCs w:val="20"/>
        </w:rPr>
        <w:t>年</w:t>
      </w:r>
      <w:r>
        <w:rPr>
          <w:rFonts w:hint="eastAsia" w:ascii="Times New Roman" w:hAnsi="Times New Roman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月），</w:t>
      </w:r>
      <w:r>
        <w:rPr>
          <w:rFonts w:hint="eastAsia" w:ascii="Times New Roman" w:hAnsi="Times New Roman"/>
          <w:sz w:val="20"/>
          <w:szCs w:val="20"/>
        </w:rPr>
        <w:t>頁331；此說可與裘、李觀點相映證。</w:t>
      </w:r>
    </w:p>
  </w:footnote>
  <w:footnote w:id="5">
    <w:p>
      <w:pPr>
        <w:pStyle w:val="9"/>
        <w:rPr>
          <w:b/>
          <w:color w:val="FF0000"/>
        </w:rPr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李宗焜</w:t>
      </w:r>
      <w:r>
        <w:rPr>
          <w:rFonts w:ascii="Times New Roman" w:hAnsi="Times New Roman" w:cs="Times New Roman"/>
          <w:spacing w:val="-8"/>
        </w:rPr>
        <w:t>：〈</w:t>
      </w:r>
      <w:r>
        <w:rPr>
          <w:rFonts w:hint="eastAsia" w:ascii="Times New Roman" w:hAnsi="Times New Roman" w:cs="Times New Roman"/>
          <w:spacing w:val="-8"/>
        </w:rPr>
        <w:t>從</w:t>
      </w:r>
      <w:r>
        <w:rPr>
          <w:rFonts w:ascii="Times New Roman" w:hAnsi="Times New Roman" w:cs="Times New Roman"/>
          <w:spacing w:val="-8"/>
        </w:rPr>
        <w:t>豐豊</w:t>
      </w:r>
      <w:r>
        <w:rPr>
          <w:rFonts w:hint="eastAsia" w:ascii="Times New Roman" w:hAnsi="Times New Roman" w:cs="Times New Roman"/>
          <w:spacing w:val="-8"/>
        </w:rPr>
        <w:t>同形談商代的新酒與陳釀</w:t>
      </w:r>
      <w:r>
        <w:rPr>
          <w:rFonts w:ascii="Times New Roman" w:hAnsi="Times New Roman" w:cs="Times New Roman"/>
          <w:spacing w:val="-8"/>
        </w:rPr>
        <w:t>〉，</w:t>
      </w:r>
      <w:r>
        <w:rPr>
          <w:rFonts w:hint="eastAsia" w:ascii="Times New Roman" w:hAnsi="Times New Roman" w:cs="Times New Roman"/>
          <w:spacing w:val="-8"/>
        </w:rPr>
        <w:t>頁7</w:t>
      </w:r>
      <w:r>
        <w:rPr>
          <w:rFonts w:hint="eastAsia" w:hAnsi="PMingLiU"/>
          <w:spacing w:val="-8"/>
        </w:rPr>
        <w:t>。</w:t>
      </w:r>
    </w:p>
  </w:footnote>
  <w:footnote w:id="6">
    <w:p>
      <w:pPr>
        <w:pStyle w:val="9"/>
        <w:rPr>
          <w:rFonts w:ascii="Times New Roman" w:hAnsi="Times New Roman" w:cs="Times New Roman"/>
          <w:spacing w:val="-8"/>
        </w:rPr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李純一</w:t>
      </w:r>
      <w:r>
        <w:rPr>
          <w:rFonts w:ascii="Times New Roman" w:hAnsi="Times New Roman" w:cs="Times New Roman"/>
          <w:spacing w:val="-8"/>
        </w:rPr>
        <w:t>：《</w:t>
      </w:r>
      <w:r>
        <w:rPr>
          <w:rFonts w:hint="eastAsia" w:ascii="Times New Roman" w:hAnsi="Times New Roman" w:cs="Times New Roman"/>
          <w:spacing w:val="-8"/>
        </w:rPr>
        <w:t>中國上古出土樂器綜論</w:t>
      </w:r>
      <w:r>
        <w:rPr>
          <w:rFonts w:ascii="Times New Roman" w:hAnsi="Times New Roman" w:cs="Times New Roman"/>
          <w:spacing w:val="-8"/>
        </w:rPr>
        <w:t>》（北京：</w:t>
      </w:r>
      <w:r>
        <w:rPr>
          <w:rFonts w:hint="eastAsia" w:ascii="Times New Roman" w:hAnsi="Times New Roman" w:cs="Times New Roman"/>
          <w:spacing w:val="-8"/>
        </w:rPr>
        <w:t>文物</w:t>
      </w:r>
      <w:r>
        <w:rPr>
          <w:rFonts w:ascii="Times New Roman" w:hAnsi="Times New Roman" w:cs="Times New Roman"/>
          <w:spacing w:val="-8"/>
        </w:rPr>
        <w:t>出版社，199</w:t>
      </w:r>
      <w:r>
        <w:rPr>
          <w:rFonts w:hint="eastAsia" w:ascii="Times New Roman" w:hAnsi="Times New Roman" w:cs="Times New Roman"/>
          <w:spacing w:val="-8"/>
        </w:rPr>
        <w:t>6</w:t>
      </w:r>
      <w:r>
        <w:rPr>
          <w:rFonts w:ascii="Times New Roman" w:hAnsi="Times New Roman" w:cs="Times New Roman"/>
          <w:spacing w:val="-8"/>
        </w:rPr>
        <w:t>年</w:t>
      </w:r>
      <w:r>
        <w:rPr>
          <w:rFonts w:hint="eastAsia" w:ascii="Times New Roman" w:hAnsi="Times New Roman" w:cs="Times New Roman"/>
          <w:spacing w:val="-8"/>
        </w:rPr>
        <w:t>8</w:t>
      </w:r>
      <w:r>
        <w:rPr>
          <w:rFonts w:ascii="Times New Roman" w:hAnsi="Times New Roman" w:cs="Times New Roman"/>
          <w:spacing w:val="-8"/>
        </w:rPr>
        <w:t>月），頁</w:t>
      </w:r>
      <w:r>
        <w:rPr>
          <w:rFonts w:hint="eastAsia" w:ascii="Times New Roman" w:hAnsi="Times New Roman" w:cs="Times New Roman"/>
          <w:spacing w:val="-8"/>
        </w:rPr>
        <w:t>2-4。</w:t>
      </w:r>
    </w:p>
  </w:footnote>
  <w:footnote w:id="7">
    <w:p>
      <w:pPr>
        <w:pStyle w:val="9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梁思永遺稿，高去尋補編：《侯家莊第六本1217號大墓》（台北：中研院史語所，1968年7月），頁24-27</w:t>
      </w:r>
    </w:p>
  </w:footnote>
  <w:footnote w:id="8">
    <w:p>
      <w:pPr>
        <w:pStyle w:val="9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董蓮池：《新金文編》（北京：作家出版社，2011年10月），頁578-580。</w:t>
      </w:r>
    </w:p>
  </w:footnote>
  <w:footnote w:id="9">
    <w:p>
      <w:pPr>
        <w:pStyle w:val="9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相關討論可參蔡哲茂：〈說「</w:t>
      </w:r>
      <w:r>
        <w:rPr>
          <w:rFonts w:hint="eastAsia" w:ascii="Calibri" w:hAnsi="Calibri" w:eastAsia="宋体" w:cs="Times New Roman"/>
          <w:kern w:val="2"/>
          <w:sz w:val="44"/>
          <w:szCs w:val="44"/>
          <w:lang w:val="en-US" w:eastAsia="zh-TW" w:bidi="ar-SA"/>
        </w:rPr>
        <w:pict>
          <v:shape id="圖片 174" o:spid="_x0000_s1025" type="#_x0000_t75" style="height:8.1pt;width:7.1pt;rotation:0f;" o:ole="f" fillcolor="#FFFFFF" filled="f" o:preferrelative="t" stroked="f" coordorigin="0,0" coordsize="21600,21600">
            <v:fill on="f" color2="#FFFFFF" focus="0%"/>
            <v:imagedata gain="65536f" blacklevel="0f" gamma="0" o:title="" r:id="rId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>」〉，</w:t>
      </w:r>
      <w:r>
        <w:t>《第四屆中國文字學全國學術討論會論文集》（中壢：中央大學，1993），頁81-96</w:t>
      </w:r>
    </w:p>
  </w:footnote>
  <w:footnote w:id="10">
    <w:p>
      <w:pPr>
        <w:pStyle w:val="9"/>
      </w:pPr>
      <w:r>
        <w:rPr>
          <w:rStyle w:val="13"/>
        </w:rPr>
        <w:footnoteRef/>
      </w:r>
      <w:r>
        <w:rPr>
          <w:rFonts w:hint="eastAsia"/>
        </w:rPr>
        <w:t xml:space="preserve"> 見於〈水陸攻戰紋鑑〉部分，史語所展品圖錄製作小組編輯製作：《來自碧落與黃泉》（臺北：中研院史語所，2002年6月），頁93。</w:t>
      </w:r>
    </w:p>
  </w:footnote>
  <w:footnote w:id="11">
    <w:p>
      <w:pPr>
        <w:pStyle w:val="9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南陽漢代畫像石編輯委員會編：《南陽漢代畫像石》（北京：文物出版社，1985年10月），圖版140。</w:t>
      </w:r>
    </w:p>
  </w:footnote>
  <w:footnote w:id="12">
    <w:p>
      <w:pPr>
        <w:pStyle w:val="9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《南陽漢代畫像石》，圖版468、473、474、475、476</w:t>
      </w:r>
    </w:p>
  </w:footnote>
  <w:footnote w:id="13">
    <w:p>
      <w:pPr>
        <w:pStyle w:val="9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南京博物院、山東省文物管理處編：《沂南古畫像石墓發掘報告》（文化部文物管理局：1956年9月），圖版88。</w:t>
      </w:r>
    </w:p>
  </w:footnote>
  <w:footnote w:id="14">
    <w:p>
      <w:pPr>
        <w:pStyle w:val="9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何介鈞主編：《長沙馬王堆二、三號漢墓‧第一卷‧田野考古發掘報告》（北京：文物出版社，2004年7月），頁48。</w:t>
      </w:r>
    </w:p>
  </w:footnote>
  <w:footnote w:id="15">
    <w:p>
      <w:pPr>
        <w:pStyle w:val="9"/>
        <w:rPr>
          <w:rFonts w:ascii="Times New Roman" w:hAnsi="Times New Roman" w:cs="Times New Roman"/>
          <w:bCs/>
        </w:rPr>
      </w:pPr>
      <w:r>
        <w:rPr>
          <w:rStyle w:val="13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王貴元：</w:t>
      </w:r>
      <w:r>
        <w:rPr>
          <w:rFonts w:ascii="Times New Roman" w:hAnsi="Times New Roman" w:cs="Times New Roman"/>
          <w:bCs/>
        </w:rPr>
        <w:t>〈馬王堆三號漢墓竹簡遺策釋讀補正〉，發表於「簡帛研究」網站（http://www.jianbo.org/</w:t>
      </w:r>
    </w:p>
    <w:p>
      <w:pPr>
        <w:pStyle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admin3/html/wangguiyuan01.htm，2012年6月8日。</w:t>
      </w:r>
    </w:p>
  </w:footnote>
  <w:footnote w:id="16">
    <w:p>
      <w:pPr>
        <w:pStyle w:val="9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安徽省文物工作隊，〈</w:t>
      </w:r>
      <w:r>
        <w:rPr>
          <w:rFonts w:hint="eastAsia" w:ascii="Times New Roman" w:hAnsi="Times New Roman"/>
        </w:rPr>
        <w:t>安徽舒城九里墩春秋墓</w:t>
      </w:r>
      <w:r>
        <w:rPr>
          <w:rFonts w:hint="eastAsia"/>
        </w:rPr>
        <w:t>〉，《考古學報》1982年第2期，頁234。</w:t>
      </w:r>
    </w:p>
  </w:footnote>
  <w:footnote w:id="17">
    <w:p>
      <w:pPr>
        <w:pStyle w:val="9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殷滌非：〈九里墩墓的青銅鼓座〉，《古文字研究》（北京：中華書局，1986年6月），第14輯，頁28-29。</w:t>
      </w:r>
    </w:p>
  </w:footnote>
  <w:footnote w:id="18">
    <w:p>
      <w:pPr>
        <w:pStyle w:val="9"/>
        <w:rPr>
          <w:rFonts w:ascii="Times New Roman" w:hAnsi="Times New Roman" w:cs="Times New Roman"/>
        </w:rPr>
      </w:pPr>
      <w:r>
        <w:rPr>
          <w:rStyle w:val="13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何琳儀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〈九里墩鼓座銘文新釋〉，《出土文獻研究》（北京：中華書局，1998</w:t>
      </w:r>
      <w:r>
        <w:rPr>
          <w:rFonts w:hint="eastAsia" w:ascii="Times New Roman" w:hAnsi="Times New Roman" w:cs="Times New Roman"/>
        </w:rPr>
        <w:t>年10月</w:t>
      </w:r>
      <w:r>
        <w:rPr>
          <w:rFonts w:ascii="Times New Roman" w:hAnsi="Times New Roman" w:cs="Times New Roman"/>
        </w:rPr>
        <w:t>），第3輯，頁71。</w:t>
      </w:r>
    </w:p>
  </w:footnote>
  <w:footnote w:id="19">
    <w:p>
      <w:pPr>
        <w:pStyle w:val="9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唐健垣：〈釋唐〉，《金祥恆教授逝世周年紀念論文集》（台北：金祥恆教授逝世周年紀念論文集編輯小組，民79年7月），頁13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8"/>
      <w:rPr>
        <w:rFonts w:hint="eastAsia"/>
        <w:lang w:val="en-US" w:eastAsia="zh-CN"/>
      </w:rPr>
    </w:pPr>
    <w:r>
      <w:rPr>
        <w:rFonts w:hint="eastAsia"/>
        <w:lang w:eastAsia="zh-CN"/>
      </w:rPr>
      <w:t>中國社會科學院歷史研究所先秦史研究室網站</w:t>
    </w:r>
    <w:r>
      <w:rPr>
        <w:rFonts w:hint="eastAsia"/>
        <w:lang w:val="en-US" w:eastAsia="zh-CN"/>
      </w:rPr>
      <w:t xml:space="preserve"> 2014年11月12日</w:t>
    </w:r>
  </w:p>
  <w:p>
    <w:pPr>
      <w:pStyle w:val="8"/>
      <w:rPr>
        <w:rFonts w:hint="eastAsia"/>
        <w:lang w:val="en-US" w:eastAsia="zh-CN"/>
      </w:rPr>
    </w:pPr>
    <w:r>
      <w:rPr>
        <w:rFonts w:ascii="宋体" w:hAnsi="宋体" w:eastAsia="宋体" w:cs="宋体"/>
        <w:sz w:val="24"/>
        <w:szCs w:val="24"/>
      </w:rPr>
      <w:fldChar w:fldCharType="begin"/>
    </w:r>
    <w:r>
      <w:rPr>
        <w:rFonts w:ascii="宋体" w:hAnsi="宋体" w:eastAsia="宋体" w:cs="宋体"/>
        <w:sz w:val="24"/>
        <w:szCs w:val="24"/>
      </w:rPr>
      <w:instrText xml:space="preserve"> HYPERLINK "http://www.xianqin.org/blog/archives/4661.html" </w:instrText>
    </w:r>
    <w:r>
      <w:rPr>
        <w:rFonts w:ascii="宋体" w:hAnsi="宋体" w:eastAsia="宋体" w:cs="宋体"/>
        <w:sz w:val="24"/>
        <w:szCs w:val="24"/>
      </w:rPr>
      <w:fldChar w:fldCharType="separate"/>
    </w:r>
    <w:r>
      <w:rPr>
        <w:rStyle w:val="11"/>
        <w:rFonts w:ascii="宋体" w:hAnsi="宋体" w:eastAsia="宋体" w:cs="宋体"/>
        <w:sz w:val="24"/>
        <w:szCs w:val="24"/>
      </w:rPr>
      <w:t>http://www.xianqin.org/blog/archives/4661.html</w:t>
    </w:r>
    <w:r>
      <w:rPr>
        <w:rFonts w:ascii="宋体" w:hAnsi="宋体" w:eastAsia="宋体" w:cs="宋体"/>
        <w:sz w:val="24"/>
        <w:szCs w:val="24"/>
      </w:rPr>
      <w:fldChar w:fldCharType="end"/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8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075BB7"/>
    <w:rsid w:val="00005671"/>
    <w:rsid w:val="00054119"/>
    <w:rsid w:val="000664C1"/>
    <w:rsid w:val="00075BB7"/>
    <w:rsid w:val="0008378A"/>
    <w:rsid w:val="00093101"/>
    <w:rsid w:val="000B55FB"/>
    <w:rsid w:val="000C021B"/>
    <w:rsid w:val="00112CA1"/>
    <w:rsid w:val="00116F1F"/>
    <w:rsid w:val="00120150"/>
    <w:rsid w:val="00165194"/>
    <w:rsid w:val="00166D39"/>
    <w:rsid w:val="00166DC2"/>
    <w:rsid w:val="00167FDE"/>
    <w:rsid w:val="001C1986"/>
    <w:rsid w:val="001C70DB"/>
    <w:rsid w:val="001D1A7D"/>
    <w:rsid w:val="001E316E"/>
    <w:rsid w:val="001E5464"/>
    <w:rsid w:val="001F066E"/>
    <w:rsid w:val="00226742"/>
    <w:rsid w:val="002443AF"/>
    <w:rsid w:val="00245D4C"/>
    <w:rsid w:val="00252227"/>
    <w:rsid w:val="0025327F"/>
    <w:rsid w:val="00287796"/>
    <w:rsid w:val="00290732"/>
    <w:rsid w:val="002A31AF"/>
    <w:rsid w:val="002C3856"/>
    <w:rsid w:val="002D5E6B"/>
    <w:rsid w:val="002D6625"/>
    <w:rsid w:val="002E067B"/>
    <w:rsid w:val="002E083B"/>
    <w:rsid w:val="002F094F"/>
    <w:rsid w:val="002F5FEE"/>
    <w:rsid w:val="003032A6"/>
    <w:rsid w:val="00342EF6"/>
    <w:rsid w:val="00347C9B"/>
    <w:rsid w:val="00360D3E"/>
    <w:rsid w:val="003A17F8"/>
    <w:rsid w:val="003B761C"/>
    <w:rsid w:val="003D1557"/>
    <w:rsid w:val="003D1F65"/>
    <w:rsid w:val="003D496B"/>
    <w:rsid w:val="00424431"/>
    <w:rsid w:val="0043075C"/>
    <w:rsid w:val="00445B03"/>
    <w:rsid w:val="00474BDD"/>
    <w:rsid w:val="00480A11"/>
    <w:rsid w:val="004C4CBF"/>
    <w:rsid w:val="004E61F4"/>
    <w:rsid w:val="004F0233"/>
    <w:rsid w:val="00505722"/>
    <w:rsid w:val="005316F9"/>
    <w:rsid w:val="00540724"/>
    <w:rsid w:val="00546EAF"/>
    <w:rsid w:val="00591318"/>
    <w:rsid w:val="005926C3"/>
    <w:rsid w:val="005A00C3"/>
    <w:rsid w:val="005C0E7A"/>
    <w:rsid w:val="005C6930"/>
    <w:rsid w:val="005D305B"/>
    <w:rsid w:val="006034BF"/>
    <w:rsid w:val="00607583"/>
    <w:rsid w:val="00607EC7"/>
    <w:rsid w:val="00610EC4"/>
    <w:rsid w:val="006156B5"/>
    <w:rsid w:val="006758A1"/>
    <w:rsid w:val="006810C1"/>
    <w:rsid w:val="006A008A"/>
    <w:rsid w:val="006B591F"/>
    <w:rsid w:val="006C5901"/>
    <w:rsid w:val="0070185B"/>
    <w:rsid w:val="007107CE"/>
    <w:rsid w:val="00712432"/>
    <w:rsid w:val="00730412"/>
    <w:rsid w:val="00730AB6"/>
    <w:rsid w:val="007343D8"/>
    <w:rsid w:val="00747F0F"/>
    <w:rsid w:val="00755992"/>
    <w:rsid w:val="00760096"/>
    <w:rsid w:val="00770F54"/>
    <w:rsid w:val="007B0897"/>
    <w:rsid w:val="007C125C"/>
    <w:rsid w:val="007C3F18"/>
    <w:rsid w:val="007D42C0"/>
    <w:rsid w:val="007F45A6"/>
    <w:rsid w:val="007F4840"/>
    <w:rsid w:val="00802328"/>
    <w:rsid w:val="00813F05"/>
    <w:rsid w:val="008210F2"/>
    <w:rsid w:val="00832843"/>
    <w:rsid w:val="008400EA"/>
    <w:rsid w:val="00842C80"/>
    <w:rsid w:val="008433D4"/>
    <w:rsid w:val="008461BD"/>
    <w:rsid w:val="00866966"/>
    <w:rsid w:val="00893E92"/>
    <w:rsid w:val="00896A2D"/>
    <w:rsid w:val="008C5963"/>
    <w:rsid w:val="008C59E1"/>
    <w:rsid w:val="008E098D"/>
    <w:rsid w:val="008E3C84"/>
    <w:rsid w:val="00902262"/>
    <w:rsid w:val="00957CEB"/>
    <w:rsid w:val="00964141"/>
    <w:rsid w:val="00964855"/>
    <w:rsid w:val="009709CD"/>
    <w:rsid w:val="00974DDC"/>
    <w:rsid w:val="00985916"/>
    <w:rsid w:val="00986BD8"/>
    <w:rsid w:val="00997296"/>
    <w:rsid w:val="009B7F2C"/>
    <w:rsid w:val="009C2585"/>
    <w:rsid w:val="009C3A31"/>
    <w:rsid w:val="009D5708"/>
    <w:rsid w:val="00A010C2"/>
    <w:rsid w:val="00A06AF2"/>
    <w:rsid w:val="00A14769"/>
    <w:rsid w:val="00A151EB"/>
    <w:rsid w:val="00A1755E"/>
    <w:rsid w:val="00A4016B"/>
    <w:rsid w:val="00A669B3"/>
    <w:rsid w:val="00A759D1"/>
    <w:rsid w:val="00A86EFE"/>
    <w:rsid w:val="00AA30B5"/>
    <w:rsid w:val="00AD6454"/>
    <w:rsid w:val="00AE0DF1"/>
    <w:rsid w:val="00B124AD"/>
    <w:rsid w:val="00B15174"/>
    <w:rsid w:val="00B16CF5"/>
    <w:rsid w:val="00B2509E"/>
    <w:rsid w:val="00B40606"/>
    <w:rsid w:val="00B6519E"/>
    <w:rsid w:val="00B65F42"/>
    <w:rsid w:val="00B7769D"/>
    <w:rsid w:val="00B776B2"/>
    <w:rsid w:val="00B858DD"/>
    <w:rsid w:val="00BC1F24"/>
    <w:rsid w:val="00BC6AA4"/>
    <w:rsid w:val="00BC729C"/>
    <w:rsid w:val="00BD52D4"/>
    <w:rsid w:val="00BF1190"/>
    <w:rsid w:val="00BF1F27"/>
    <w:rsid w:val="00BF64F3"/>
    <w:rsid w:val="00C2483A"/>
    <w:rsid w:val="00C61C20"/>
    <w:rsid w:val="00C628BF"/>
    <w:rsid w:val="00C67CA8"/>
    <w:rsid w:val="00C737FD"/>
    <w:rsid w:val="00CB67A8"/>
    <w:rsid w:val="00CC650C"/>
    <w:rsid w:val="00D2029F"/>
    <w:rsid w:val="00D65497"/>
    <w:rsid w:val="00D76A6A"/>
    <w:rsid w:val="00D85D65"/>
    <w:rsid w:val="00D96A47"/>
    <w:rsid w:val="00DC5951"/>
    <w:rsid w:val="00DE2CB0"/>
    <w:rsid w:val="00DF218E"/>
    <w:rsid w:val="00DF7EE0"/>
    <w:rsid w:val="00E14983"/>
    <w:rsid w:val="00E33B0A"/>
    <w:rsid w:val="00E80BCE"/>
    <w:rsid w:val="00E832E1"/>
    <w:rsid w:val="00EC0FAC"/>
    <w:rsid w:val="00F25C83"/>
    <w:rsid w:val="00F32E02"/>
    <w:rsid w:val="00F42555"/>
    <w:rsid w:val="00F718D7"/>
    <w:rsid w:val="00F72EA7"/>
    <w:rsid w:val="00FA0E3D"/>
    <w:rsid w:val="00FA6B30"/>
    <w:rsid w:val="00FA7A0D"/>
    <w:rsid w:val="00FE62E1"/>
    <w:rsid w:val="00FF7E63"/>
    <w:rsid w:val="33E2500F"/>
    <w:rsid w:val="7032661D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99" w:semiHidden="0" w:name="footnote text"/>
    <w:lsdException w:uiPriority="99" w:semiHidden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99" w:semiHidden="0" w:name="footnote reference"/>
    <w:lsdException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99" w:semiHidden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99" w:semiHidden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Calibri" w:hAnsi="Calibri" w:eastAsia="宋体" w:cs="Times New Roman"/>
      <w:kern w:val="2"/>
      <w:sz w:val="24"/>
      <w:szCs w:val="22"/>
      <w:lang w:val="en-US" w:eastAsia="zh-TW" w:bidi="ar-SA"/>
    </w:rPr>
  </w:style>
  <w:style w:type="character" w:default="1" w:styleId="10">
    <w:name w:val="Default Paragraph Font"/>
    <w:unhideWhenUsed/>
    <w:uiPriority w:val="1"/>
  </w:style>
  <w:style w:type="table" w:default="1" w:styleId="14">
    <w:name w:val="Normal Table"/>
    <w:unhideWhenUsed/>
    <w:uiPriority w:val="99"/>
    <w:tblPr>
      <w:tblStyle w:val="1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annotation subject"/>
    <w:basedOn w:val="3"/>
    <w:next w:val="3"/>
    <w:link w:val="24"/>
    <w:unhideWhenUsed/>
    <w:uiPriority w:val="99"/>
    <w:rPr>
      <w:b/>
      <w:bCs/>
    </w:rPr>
  </w:style>
  <w:style w:type="paragraph" w:styleId="3">
    <w:name w:val="annotation text"/>
    <w:basedOn w:val="1"/>
    <w:link w:val="23"/>
    <w:unhideWhenUsed/>
    <w:uiPriority w:val="99"/>
  </w:style>
  <w:style w:type="paragraph" w:styleId="4">
    <w:name w:val="Note Heading"/>
    <w:basedOn w:val="1"/>
    <w:next w:val="1"/>
    <w:link w:val="21"/>
    <w:unhideWhenUsed/>
    <w:uiPriority w:val="99"/>
    <w:pPr>
      <w:jc w:val="center"/>
    </w:pPr>
    <w:rPr>
      <w:rFonts w:ascii="Times New Roman" w:hAnsi="Times New Roman"/>
    </w:rPr>
  </w:style>
  <w:style w:type="paragraph" w:styleId="5">
    <w:name w:val="Closing"/>
    <w:basedOn w:val="1"/>
    <w:link w:val="22"/>
    <w:unhideWhenUsed/>
    <w:uiPriority w:val="99"/>
    <w:pPr>
      <w:ind w:left="100" w:leftChars="1800"/>
    </w:pPr>
    <w:rPr>
      <w:rFonts w:ascii="Times New Roman" w:hAnsi="Times New Roman"/>
    </w:rPr>
  </w:style>
  <w:style w:type="paragraph" w:styleId="6">
    <w:name w:val="Balloon Text"/>
    <w:basedOn w:val="1"/>
    <w:link w:val="16"/>
    <w:unhideWhenUsed/>
    <w:uiPriority w:val="99"/>
    <w:rPr>
      <w:rFonts w:ascii="Cambria" w:hAnsi="Cambria"/>
      <w:sz w:val="18"/>
      <w:szCs w:val="18"/>
    </w:rPr>
  </w:style>
  <w:style w:type="paragraph" w:styleId="7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8">
    <w:name w:val="head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9">
    <w:name w:val="footnote text"/>
    <w:basedOn w:val="1"/>
    <w:link w:val="17"/>
    <w:unhideWhenUsed/>
    <w:uiPriority w:val="99"/>
    <w:pPr>
      <w:snapToGrid w:val="0"/>
    </w:pPr>
    <w:rPr>
      <w:sz w:val="20"/>
      <w:szCs w:val="20"/>
    </w:rPr>
  </w:style>
  <w:style w:type="character" w:styleId="11">
    <w:name w:val="Hyperlink"/>
    <w:basedOn w:val="10"/>
    <w:unhideWhenUsed/>
    <w:uiPriority w:val="99"/>
    <w:rPr>
      <w:color w:val="0000FF"/>
      <w:u w:val="single"/>
    </w:rPr>
  </w:style>
  <w:style w:type="character" w:styleId="12">
    <w:name w:val="annotation reference"/>
    <w:basedOn w:val="10"/>
    <w:unhideWhenUsed/>
    <w:uiPriority w:val="99"/>
    <w:rPr>
      <w:sz w:val="18"/>
      <w:szCs w:val="18"/>
    </w:rPr>
  </w:style>
  <w:style w:type="character" w:styleId="13">
    <w:name w:val="footnote reference"/>
    <w:basedOn w:val="10"/>
    <w:unhideWhenUsed/>
    <w:uiPriority w:val="99"/>
    <w:rPr>
      <w:vertAlign w:val="superscript"/>
    </w:rPr>
  </w:style>
  <w:style w:type="paragraph" w:customStyle="1" w:styleId="15">
    <w:name w:val="List Paragraph"/>
    <w:basedOn w:val="1"/>
    <w:qFormat/>
    <w:uiPriority w:val="34"/>
    <w:pPr>
      <w:ind w:left="480" w:leftChars="200"/>
    </w:pPr>
  </w:style>
  <w:style w:type="character" w:customStyle="1" w:styleId="16">
    <w:name w:val="註解方塊文字 字元"/>
    <w:basedOn w:val="10"/>
    <w:link w:val="6"/>
    <w:semiHidden/>
    <w:uiPriority w:val="99"/>
    <w:rPr>
      <w:rFonts w:ascii="Cambria" w:hAnsi="Cambria"/>
      <w:sz w:val="18"/>
      <w:szCs w:val="18"/>
    </w:rPr>
  </w:style>
  <w:style w:type="character" w:customStyle="1" w:styleId="17">
    <w:name w:val="註腳文字 字元"/>
    <w:basedOn w:val="10"/>
    <w:link w:val="9"/>
    <w:semiHidden/>
    <w:uiPriority w:val="99"/>
    <w:rPr>
      <w:sz w:val="20"/>
      <w:szCs w:val="20"/>
    </w:rPr>
  </w:style>
  <w:style w:type="character" w:customStyle="1" w:styleId="18">
    <w:name w:val="頁首 字元"/>
    <w:basedOn w:val="10"/>
    <w:link w:val="8"/>
    <w:uiPriority w:val="99"/>
    <w:rPr>
      <w:sz w:val="20"/>
      <w:szCs w:val="20"/>
    </w:rPr>
  </w:style>
  <w:style w:type="character" w:customStyle="1" w:styleId="19">
    <w:name w:val="頁尾 字元"/>
    <w:basedOn w:val="10"/>
    <w:link w:val="7"/>
    <w:uiPriority w:val="99"/>
    <w:rPr>
      <w:sz w:val="20"/>
      <w:szCs w:val="20"/>
    </w:rPr>
  </w:style>
  <w:style w:type="character" w:customStyle="1" w:styleId="20">
    <w:name w:val="Placeholder Text"/>
    <w:basedOn w:val="10"/>
    <w:semiHidden/>
    <w:uiPriority w:val="99"/>
    <w:rPr>
      <w:color w:val="808080"/>
    </w:rPr>
  </w:style>
  <w:style w:type="character" w:customStyle="1" w:styleId="21">
    <w:name w:val="註釋標題 字元"/>
    <w:basedOn w:val="10"/>
    <w:link w:val="4"/>
    <w:uiPriority w:val="99"/>
    <w:rPr>
      <w:rFonts w:ascii="Times New Roman" w:hAnsi="Times New Roman"/>
    </w:rPr>
  </w:style>
  <w:style w:type="character" w:customStyle="1" w:styleId="22">
    <w:name w:val="結語 字元"/>
    <w:basedOn w:val="10"/>
    <w:link w:val="5"/>
    <w:uiPriority w:val="99"/>
    <w:rPr>
      <w:rFonts w:ascii="Times New Roman" w:hAnsi="Times New Roman"/>
    </w:rPr>
  </w:style>
  <w:style w:type="character" w:customStyle="1" w:styleId="23">
    <w:name w:val="註解文字 字元"/>
    <w:basedOn w:val="10"/>
    <w:link w:val="3"/>
    <w:semiHidden/>
    <w:uiPriority w:val="99"/>
    <w:rPr/>
  </w:style>
  <w:style w:type="character" w:customStyle="1" w:styleId="24">
    <w:name w:val="註解主旨 字元"/>
    <w:basedOn w:val="23"/>
    <w:link w:val="2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customXml" Target="../customXml/item1.xml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jpeg"/><Relationship Id="rId75" Type="http://schemas.openxmlformats.org/officeDocument/2006/relationships/image" Target="media/image69.jpeg"/><Relationship Id="rId74" Type="http://schemas.openxmlformats.org/officeDocument/2006/relationships/image" Target="media/image68.jpeg"/><Relationship Id="rId73" Type="http://schemas.openxmlformats.org/officeDocument/2006/relationships/image" Target="media/image67.png"/><Relationship Id="rId72" Type="http://schemas.openxmlformats.org/officeDocument/2006/relationships/image" Target="media/image66.jpe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jpe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notes" Target="foot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settings" Target="setting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tyles" Target="style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717</Words>
  <Characters>4091</Characters>
  <Lines>34</Lines>
  <Paragraphs>9</Paragraphs>
  <ScaleCrop>false</ScaleCrop>
  <LinksUpToDate>false</LinksUpToDate>
  <CharactersWithSpaces>0</CharactersWithSpaces>
  <Application>WPS Office 个人版_9.1.0.4867_{F1E327BC-269C-435d-A152-05C5408002CA}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2012-05-02T08:39:00Z</dcterms:created>
  <dc:creator>user</dc:creator>
  <cp:lastModifiedBy>ibuffalo</cp:lastModifiedBy>
  <cp:lastPrinted>2012-06-28T04:10:00Z</cp:lastPrinted>
  <dcterms:modified xsi:type="dcterms:W3CDTF">2014-11-12T15:00:47Z</dcterms:modified>
  <dc:title>古文字「豐」字構形試釋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2052-9.1.0.4867</vt:lpwstr>
  </property>
</Properties>
</file>